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011C06" w:rsidRDefault="003D7B0B" w:rsidP="00397717">
      <w:pPr>
        <w:jc w:val="right"/>
      </w:pPr>
      <w:r w:rsidRPr="00011C06">
        <w:t xml:space="preserve">Anlage </w:t>
      </w:r>
      <w:r w:rsidR="00E10340">
        <w:t>5</w:t>
      </w:r>
      <w:r w:rsidRPr="00011C06">
        <w:t xml:space="preserve"> zur GRDrs </w:t>
      </w:r>
      <w:r w:rsidR="00E10340">
        <w:t>706</w:t>
      </w:r>
      <w:r w:rsidR="005F5B3D" w:rsidRPr="00011C06">
        <w:t>/20</w:t>
      </w:r>
      <w:r w:rsidR="00AE7B02" w:rsidRPr="00011C06">
        <w:t>21</w:t>
      </w:r>
    </w:p>
    <w:p w:rsidR="003D7B0B" w:rsidRPr="00011C06" w:rsidRDefault="003D7B0B" w:rsidP="006E0575"/>
    <w:p w:rsidR="003D7B0B" w:rsidRPr="00011C06" w:rsidRDefault="003D7B0B" w:rsidP="006E0575"/>
    <w:p w:rsidR="00184EDC" w:rsidRPr="00011C06" w:rsidRDefault="003D7B0B" w:rsidP="00397717">
      <w:pPr>
        <w:jc w:val="center"/>
        <w:rPr>
          <w:b/>
          <w:sz w:val="36"/>
        </w:rPr>
      </w:pPr>
      <w:r w:rsidRPr="00011C06">
        <w:rPr>
          <w:b/>
          <w:sz w:val="36"/>
          <w:u w:val="single"/>
        </w:rPr>
        <w:t>Stellenschaffun</w:t>
      </w:r>
      <w:r w:rsidRPr="00011C06">
        <w:rPr>
          <w:b/>
          <w:sz w:val="36"/>
        </w:rPr>
        <w:t>g</w:t>
      </w:r>
    </w:p>
    <w:p w:rsidR="003D7B0B" w:rsidRPr="00011C06" w:rsidRDefault="00184EDC" w:rsidP="00397717">
      <w:pPr>
        <w:jc w:val="center"/>
        <w:rPr>
          <w:b/>
          <w:sz w:val="36"/>
          <w:szCs w:val="36"/>
          <w:u w:val="single"/>
        </w:rPr>
      </w:pPr>
      <w:r w:rsidRPr="00011C06">
        <w:rPr>
          <w:b/>
          <w:sz w:val="36"/>
          <w:szCs w:val="36"/>
          <w:u w:val="single"/>
        </w:rPr>
        <w:t>zum Stellenplan 20</w:t>
      </w:r>
      <w:r w:rsidR="00DE362D" w:rsidRPr="00011C06">
        <w:rPr>
          <w:b/>
          <w:sz w:val="36"/>
          <w:szCs w:val="36"/>
          <w:u w:val="single"/>
        </w:rPr>
        <w:t>2</w:t>
      </w:r>
      <w:r w:rsidR="00011C06">
        <w:rPr>
          <w:b/>
          <w:sz w:val="36"/>
          <w:szCs w:val="36"/>
          <w:u w:val="single"/>
        </w:rPr>
        <w:t>2</w:t>
      </w:r>
    </w:p>
    <w:p w:rsidR="003D7B0B" w:rsidRPr="00011C06" w:rsidRDefault="003D7B0B" w:rsidP="006E0575">
      <w:pPr>
        <w:rPr>
          <w:u w:val="single"/>
        </w:rPr>
      </w:pPr>
    </w:p>
    <w:p w:rsidR="00DE362D" w:rsidRPr="00011C0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011C06" w:rsidRPr="00011C06" w:rsidTr="00DE362D">
        <w:trPr>
          <w:cantSplit/>
          <w:tblHeader/>
        </w:trPr>
        <w:tc>
          <w:tcPr>
            <w:tcW w:w="1814" w:type="dxa"/>
            <w:shd w:val="pct12" w:color="auto" w:fill="FFFFFF"/>
          </w:tcPr>
          <w:p w:rsidR="00DE362D" w:rsidRPr="00011C06" w:rsidRDefault="005F5B3D" w:rsidP="0030686C">
            <w:pPr>
              <w:spacing w:before="120" w:after="120" w:line="200" w:lineRule="exact"/>
              <w:ind w:right="-85"/>
              <w:rPr>
                <w:sz w:val="16"/>
                <w:szCs w:val="16"/>
              </w:rPr>
            </w:pPr>
            <w:r w:rsidRPr="00011C06">
              <w:rPr>
                <w:sz w:val="16"/>
                <w:szCs w:val="16"/>
              </w:rPr>
              <w:t>Org.-Einheit</w:t>
            </w:r>
            <w:r w:rsidR="00380937" w:rsidRPr="00011C06">
              <w:rPr>
                <w:sz w:val="16"/>
                <w:szCs w:val="16"/>
              </w:rPr>
              <w:t>,</w:t>
            </w:r>
          </w:p>
          <w:p w:rsidR="005F5B3D" w:rsidRPr="00011C06" w:rsidRDefault="005F5B3D" w:rsidP="0030686C">
            <w:pPr>
              <w:spacing w:before="120" w:after="120" w:line="200" w:lineRule="exact"/>
              <w:ind w:right="-85"/>
              <w:rPr>
                <w:sz w:val="16"/>
                <w:szCs w:val="16"/>
              </w:rPr>
            </w:pPr>
            <w:r w:rsidRPr="00011C06">
              <w:rPr>
                <w:sz w:val="16"/>
                <w:szCs w:val="16"/>
              </w:rPr>
              <w:t>Kostenstelle</w:t>
            </w:r>
          </w:p>
        </w:tc>
        <w:tc>
          <w:tcPr>
            <w:tcW w:w="1701" w:type="dxa"/>
            <w:shd w:val="pct12" w:color="auto" w:fill="FFFFFF"/>
          </w:tcPr>
          <w:p w:rsidR="005F5B3D" w:rsidRPr="00011C06" w:rsidRDefault="005F5B3D" w:rsidP="0030686C">
            <w:pPr>
              <w:spacing w:before="120" w:after="120" w:line="200" w:lineRule="exact"/>
              <w:ind w:right="-85"/>
              <w:rPr>
                <w:sz w:val="16"/>
                <w:szCs w:val="16"/>
              </w:rPr>
            </w:pPr>
            <w:r w:rsidRPr="00011C06">
              <w:rPr>
                <w:sz w:val="16"/>
                <w:szCs w:val="16"/>
              </w:rPr>
              <w:t>Amt</w:t>
            </w:r>
          </w:p>
        </w:tc>
        <w:tc>
          <w:tcPr>
            <w:tcW w:w="794" w:type="dxa"/>
            <w:shd w:val="pct12" w:color="auto" w:fill="FFFFFF"/>
          </w:tcPr>
          <w:p w:rsidR="00DE362D" w:rsidRPr="00011C06" w:rsidRDefault="00606F80" w:rsidP="0030686C">
            <w:pPr>
              <w:spacing w:before="120" w:after="120" w:line="200" w:lineRule="exact"/>
              <w:ind w:right="-85"/>
              <w:rPr>
                <w:sz w:val="16"/>
                <w:szCs w:val="16"/>
              </w:rPr>
            </w:pPr>
            <w:r w:rsidRPr="00011C06">
              <w:rPr>
                <w:sz w:val="16"/>
                <w:szCs w:val="16"/>
              </w:rPr>
              <w:t>BesGr.</w:t>
            </w:r>
          </w:p>
          <w:p w:rsidR="00DE362D" w:rsidRPr="00011C06" w:rsidRDefault="00606F80" w:rsidP="0030686C">
            <w:pPr>
              <w:spacing w:before="120" w:after="120" w:line="200" w:lineRule="exact"/>
              <w:ind w:right="-85"/>
              <w:rPr>
                <w:sz w:val="16"/>
                <w:szCs w:val="16"/>
              </w:rPr>
            </w:pPr>
            <w:r w:rsidRPr="00011C06">
              <w:rPr>
                <w:sz w:val="16"/>
                <w:szCs w:val="16"/>
              </w:rPr>
              <w:t>oder</w:t>
            </w:r>
          </w:p>
          <w:p w:rsidR="00606F80" w:rsidRPr="00011C06" w:rsidRDefault="00606F80" w:rsidP="0030686C">
            <w:pPr>
              <w:spacing w:before="120" w:after="120" w:line="200" w:lineRule="exact"/>
              <w:ind w:right="-85"/>
              <w:rPr>
                <w:sz w:val="16"/>
                <w:szCs w:val="16"/>
              </w:rPr>
            </w:pPr>
            <w:r w:rsidRPr="00011C06">
              <w:rPr>
                <w:sz w:val="16"/>
                <w:szCs w:val="16"/>
              </w:rPr>
              <w:t>EG</w:t>
            </w:r>
          </w:p>
        </w:tc>
        <w:tc>
          <w:tcPr>
            <w:tcW w:w="1928" w:type="dxa"/>
            <w:shd w:val="pct12" w:color="auto" w:fill="FFFFFF"/>
          </w:tcPr>
          <w:p w:rsidR="005F5B3D" w:rsidRPr="00011C06" w:rsidRDefault="005F5B3D" w:rsidP="0030686C">
            <w:pPr>
              <w:spacing w:before="120" w:after="120" w:line="200" w:lineRule="exact"/>
              <w:ind w:right="-85"/>
              <w:rPr>
                <w:sz w:val="16"/>
                <w:szCs w:val="16"/>
              </w:rPr>
            </w:pPr>
            <w:r w:rsidRPr="00011C06">
              <w:rPr>
                <w:sz w:val="16"/>
                <w:szCs w:val="16"/>
              </w:rPr>
              <w:t>Funktions</w:t>
            </w:r>
            <w:r w:rsidR="00622CC7" w:rsidRPr="00011C06">
              <w:rPr>
                <w:sz w:val="16"/>
                <w:szCs w:val="16"/>
              </w:rPr>
              <w:t>-</w:t>
            </w:r>
            <w:r w:rsidR="00622CC7" w:rsidRPr="00011C06">
              <w:rPr>
                <w:sz w:val="16"/>
                <w:szCs w:val="16"/>
              </w:rPr>
              <w:br/>
            </w:r>
            <w:r w:rsidRPr="00011C06">
              <w:rPr>
                <w:sz w:val="16"/>
                <w:szCs w:val="16"/>
              </w:rPr>
              <w:t>bezeichnung</w:t>
            </w:r>
          </w:p>
        </w:tc>
        <w:tc>
          <w:tcPr>
            <w:tcW w:w="737" w:type="dxa"/>
            <w:shd w:val="pct12" w:color="auto" w:fill="FFFFFF"/>
          </w:tcPr>
          <w:p w:rsidR="005F5B3D" w:rsidRPr="00011C06" w:rsidRDefault="005F5B3D" w:rsidP="0030686C">
            <w:pPr>
              <w:spacing w:before="120" w:after="120" w:line="200" w:lineRule="exact"/>
              <w:ind w:right="-85"/>
              <w:rPr>
                <w:sz w:val="16"/>
                <w:szCs w:val="16"/>
              </w:rPr>
            </w:pPr>
            <w:r w:rsidRPr="00011C06">
              <w:rPr>
                <w:sz w:val="16"/>
                <w:szCs w:val="16"/>
              </w:rPr>
              <w:t>Anzahl</w:t>
            </w:r>
            <w:r w:rsidRPr="00011C06">
              <w:rPr>
                <w:sz w:val="16"/>
                <w:szCs w:val="16"/>
              </w:rPr>
              <w:br/>
              <w:t>der</w:t>
            </w:r>
            <w:r w:rsidRPr="00011C06">
              <w:rPr>
                <w:sz w:val="16"/>
                <w:szCs w:val="16"/>
              </w:rPr>
              <w:br/>
              <w:t>Stellen</w:t>
            </w:r>
          </w:p>
        </w:tc>
        <w:tc>
          <w:tcPr>
            <w:tcW w:w="1134" w:type="dxa"/>
            <w:shd w:val="pct12" w:color="auto" w:fill="FFFFFF"/>
          </w:tcPr>
          <w:p w:rsidR="005F5B3D" w:rsidRPr="00011C06" w:rsidRDefault="005F5B3D" w:rsidP="0030686C">
            <w:pPr>
              <w:spacing w:before="120" w:after="120" w:line="200" w:lineRule="exact"/>
              <w:ind w:right="-85"/>
              <w:rPr>
                <w:sz w:val="16"/>
                <w:szCs w:val="16"/>
              </w:rPr>
            </w:pPr>
            <w:r w:rsidRPr="00011C06">
              <w:rPr>
                <w:sz w:val="16"/>
                <w:szCs w:val="16"/>
              </w:rPr>
              <w:t>Stellen-</w:t>
            </w:r>
            <w:r w:rsidRPr="00011C06">
              <w:rPr>
                <w:sz w:val="16"/>
                <w:szCs w:val="16"/>
              </w:rPr>
              <w:br/>
              <w:t>vermerk</w:t>
            </w:r>
          </w:p>
        </w:tc>
        <w:tc>
          <w:tcPr>
            <w:tcW w:w="1417" w:type="dxa"/>
            <w:shd w:val="pct12" w:color="auto" w:fill="FFFFFF"/>
          </w:tcPr>
          <w:p w:rsidR="005F5B3D" w:rsidRPr="00011C06" w:rsidRDefault="005F5B3D" w:rsidP="0030686C">
            <w:pPr>
              <w:spacing w:before="120" w:after="120" w:line="200" w:lineRule="exact"/>
              <w:ind w:right="-85"/>
              <w:rPr>
                <w:sz w:val="16"/>
                <w:szCs w:val="16"/>
              </w:rPr>
            </w:pPr>
            <w:r w:rsidRPr="00011C06">
              <w:rPr>
                <w:sz w:val="16"/>
                <w:szCs w:val="16"/>
              </w:rPr>
              <w:t>durchschnittl.</w:t>
            </w:r>
            <w:r w:rsidRPr="00011C06">
              <w:rPr>
                <w:sz w:val="16"/>
                <w:szCs w:val="16"/>
              </w:rPr>
              <w:br/>
              <w:t>jährl. kosten-</w:t>
            </w:r>
            <w:r w:rsidRPr="00011C06">
              <w:rPr>
                <w:sz w:val="16"/>
                <w:szCs w:val="16"/>
              </w:rPr>
              <w:br/>
              <w:t>wirksamer</w:t>
            </w:r>
            <w:r w:rsidR="00DE362D" w:rsidRPr="00011C06">
              <w:rPr>
                <w:sz w:val="16"/>
                <w:szCs w:val="16"/>
              </w:rPr>
              <w:t xml:space="preserve"> </w:t>
            </w:r>
            <w:r w:rsidRPr="00011C06">
              <w:rPr>
                <w:sz w:val="16"/>
                <w:szCs w:val="16"/>
              </w:rPr>
              <w:br/>
              <w:t>Aufwand</w:t>
            </w:r>
            <w:r w:rsidR="0030686C" w:rsidRPr="00011C06">
              <w:rPr>
                <w:sz w:val="16"/>
                <w:szCs w:val="16"/>
              </w:rPr>
              <w:t xml:space="preserve"> </w:t>
            </w:r>
            <w:r w:rsidRPr="00011C06">
              <w:rPr>
                <w:sz w:val="16"/>
                <w:szCs w:val="16"/>
              </w:rPr>
              <w:br/>
            </w:r>
            <w:r w:rsidR="003F0FAA" w:rsidRPr="00011C06">
              <w:rPr>
                <w:sz w:val="16"/>
                <w:szCs w:val="16"/>
              </w:rPr>
              <w:t xml:space="preserve">in </w:t>
            </w:r>
            <w:r w:rsidRPr="00011C06">
              <w:rPr>
                <w:sz w:val="16"/>
                <w:szCs w:val="16"/>
              </w:rPr>
              <w:t>Euro</w:t>
            </w:r>
          </w:p>
        </w:tc>
      </w:tr>
      <w:tr w:rsidR="00011C06" w:rsidRPr="00011C06" w:rsidTr="00DE362D">
        <w:tc>
          <w:tcPr>
            <w:tcW w:w="1814" w:type="dxa"/>
          </w:tcPr>
          <w:p w:rsidR="005F5B3D" w:rsidRPr="00011C06" w:rsidRDefault="005F5B3D" w:rsidP="0030686C">
            <w:pPr>
              <w:rPr>
                <w:sz w:val="20"/>
              </w:rPr>
            </w:pPr>
          </w:p>
          <w:p w:rsidR="00002A84" w:rsidRPr="00011C06" w:rsidRDefault="00F92616" w:rsidP="00002A84">
            <w:pPr>
              <w:rPr>
                <w:sz w:val="20"/>
              </w:rPr>
            </w:pPr>
            <w:r w:rsidRPr="00011C06">
              <w:rPr>
                <w:sz w:val="20"/>
              </w:rPr>
              <w:t>36-7.3</w:t>
            </w:r>
          </w:p>
          <w:p w:rsidR="0011112B" w:rsidRPr="00011C06" w:rsidRDefault="0011112B" w:rsidP="0030686C">
            <w:pPr>
              <w:rPr>
                <w:sz w:val="20"/>
              </w:rPr>
            </w:pPr>
          </w:p>
          <w:p w:rsidR="005F5B3D" w:rsidRPr="00011C06" w:rsidRDefault="00F80CE1" w:rsidP="00002A84">
            <w:pPr>
              <w:rPr>
                <w:sz w:val="20"/>
              </w:rPr>
            </w:pPr>
            <w:r w:rsidRPr="00011C06">
              <w:rPr>
                <w:sz w:val="20"/>
              </w:rPr>
              <w:t>3660</w:t>
            </w:r>
            <w:r w:rsidR="00C55593" w:rsidRPr="00011C06">
              <w:rPr>
                <w:sz w:val="20"/>
              </w:rPr>
              <w:t xml:space="preserve"> </w:t>
            </w:r>
            <w:r w:rsidRPr="00011C06">
              <w:rPr>
                <w:sz w:val="20"/>
              </w:rPr>
              <w:t>5300</w:t>
            </w:r>
          </w:p>
        </w:tc>
        <w:tc>
          <w:tcPr>
            <w:tcW w:w="1701" w:type="dxa"/>
          </w:tcPr>
          <w:p w:rsidR="005F5B3D" w:rsidRPr="00011C06" w:rsidRDefault="005F5B3D" w:rsidP="0030686C">
            <w:pPr>
              <w:rPr>
                <w:sz w:val="20"/>
              </w:rPr>
            </w:pPr>
          </w:p>
          <w:p w:rsidR="005F5B3D" w:rsidRPr="00011C06" w:rsidRDefault="00F80CE1" w:rsidP="00C55593">
            <w:pPr>
              <w:rPr>
                <w:sz w:val="20"/>
              </w:rPr>
            </w:pPr>
            <w:r w:rsidRPr="00011C06">
              <w:rPr>
                <w:sz w:val="20"/>
              </w:rPr>
              <w:t>Amt für Umweltschutz</w:t>
            </w:r>
          </w:p>
        </w:tc>
        <w:tc>
          <w:tcPr>
            <w:tcW w:w="794" w:type="dxa"/>
          </w:tcPr>
          <w:p w:rsidR="005F5B3D" w:rsidRPr="00011C06" w:rsidRDefault="005F5B3D" w:rsidP="0030686C">
            <w:pPr>
              <w:rPr>
                <w:sz w:val="20"/>
              </w:rPr>
            </w:pPr>
          </w:p>
          <w:p w:rsidR="005F5B3D" w:rsidRPr="00011C06" w:rsidRDefault="00F80CE1" w:rsidP="0030686C">
            <w:pPr>
              <w:rPr>
                <w:sz w:val="20"/>
              </w:rPr>
            </w:pPr>
            <w:r w:rsidRPr="00011C06">
              <w:rPr>
                <w:sz w:val="20"/>
              </w:rPr>
              <w:t>A</w:t>
            </w:r>
            <w:r w:rsidR="00B32AB9" w:rsidRPr="00011C06">
              <w:rPr>
                <w:sz w:val="20"/>
              </w:rPr>
              <w:t xml:space="preserve"> </w:t>
            </w:r>
            <w:r w:rsidRPr="00011C06">
              <w:rPr>
                <w:sz w:val="20"/>
              </w:rPr>
              <w:t>12</w:t>
            </w:r>
          </w:p>
        </w:tc>
        <w:tc>
          <w:tcPr>
            <w:tcW w:w="1928" w:type="dxa"/>
          </w:tcPr>
          <w:p w:rsidR="005F5B3D" w:rsidRPr="00011C06" w:rsidRDefault="005F5B3D" w:rsidP="0030686C">
            <w:pPr>
              <w:rPr>
                <w:sz w:val="20"/>
              </w:rPr>
            </w:pPr>
          </w:p>
          <w:p w:rsidR="005F5B3D" w:rsidRPr="00011C06" w:rsidRDefault="00F80CE1" w:rsidP="0030686C">
            <w:pPr>
              <w:rPr>
                <w:sz w:val="20"/>
              </w:rPr>
            </w:pPr>
            <w:r w:rsidRPr="00011C06">
              <w:rPr>
                <w:sz w:val="20"/>
              </w:rPr>
              <w:t>Sachbearbeiter</w:t>
            </w:r>
            <w:r w:rsidR="00B32AB9" w:rsidRPr="00011C06">
              <w:rPr>
                <w:sz w:val="20"/>
              </w:rPr>
              <w:t>/-in Gewerbeaufsicht/technischer Umweltschutz</w:t>
            </w:r>
          </w:p>
        </w:tc>
        <w:tc>
          <w:tcPr>
            <w:tcW w:w="737" w:type="dxa"/>
            <w:shd w:val="pct12" w:color="auto" w:fill="FFFFFF"/>
          </w:tcPr>
          <w:p w:rsidR="005F5B3D" w:rsidRPr="00011C06" w:rsidRDefault="005F5B3D" w:rsidP="0030686C">
            <w:pPr>
              <w:rPr>
                <w:sz w:val="20"/>
              </w:rPr>
            </w:pPr>
          </w:p>
          <w:p w:rsidR="005F5B3D" w:rsidRPr="00011C06" w:rsidRDefault="008A123C" w:rsidP="0030686C">
            <w:pPr>
              <w:rPr>
                <w:sz w:val="20"/>
              </w:rPr>
            </w:pPr>
            <w:r w:rsidRPr="00011C06">
              <w:rPr>
                <w:sz w:val="20"/>
              </w:rPr>
              <w:t>0,70</w:t>
            </w:r>
          </w:p>
        </w:tc>
        <w:tc>
          <w:tcPr>
            <w:tcW w:w="1134" w:type="dxa"/>
          </w:tcPr>
          <w:p w:rsidR="005F5B3D" w:rsidRPr="00011C06" w:rsidRDefault="005F5B3D" w:rsidP="0030686C">
            <w:pPr>
              <w:rPr>
                <w:sz w:val="20"/>
              </w:rPr>
            </w:pPr>
          </w:p>
          <w:p w:rsidR="005F5B3D" w:rsidRPr="00011C06" w:rsidRDefault="00B32AB9" w:rsidP="0030686C">
            <w:pPr>
              <w:rPr>
                <w:sz w:val="20"/>
              </w:rPr>
            </w:pPr>
            <w:r w:rsidRPr="00011C06">
              <w:rPr>
                <w:sz w:val="20"/>
              </w:rPr>
              <w:t>--</w:t>
            </w:r>
            <w:r w:rsidR="002B3406" w:rsidRPr="00011C06">
              <w:rPr>
                <w:sz w:val="20"/>
              </w:rPr>
              <w:t>-</w:t>
            </w:r>
          </w:p>
        </w:tc>
        <w:tc>
          <w:tcPr>
            <w:tcW w:w="1417" w:type="dxa"/>
          </w:tcPr>
          <w:p w:rsidR="005F5B3D" w:rsidRPr="00011C06" w:rsidRDefault="005F5B3D" w:rsidP="0030686C">
            <w:pPr>
              <w:rPr>
                <w:sz w:val="20"/>
              </w:rPr>
            </w:pPr>
          </w:p>
          <w:p w:rsidR="005F5B3D" w:rsidRPr="00011C06" w:rsidRDefault="00E10340" w:rsidP="0030686C">
            <w:pPr>
              <w:rPr>
                <w:sz w:val="20"/>
              </w:rPr>
            </w:pPr>
            <w:r>
              <w:rPr>
                <w:sz w:val="20"/>
              </w:rPr>
              <w:t>77.840</w:t>
            </w:r>
            <w:bookmarkStart w:id="0" w:name="_GoBack"/>
            <w:bookmarkEnd w:id="0"/>
          </w:p>
        </w:tc>
      </w:tr>
    </w:tbl>
    <w:p w:rsidR="003D7B0B" w:rsidRPr="00011C06" w:rsidRDefault="006E0575" w:rsidP="00884D6C">
      <w:pPr>
        <w:pStyle w:val="berschrift1"/>
      </w:pPr>
      <w:r w:rsidRPr="00011C06">
        <w:t>1</w:t>
      </w:r>
      <w:r w:rsidR="00884D6C" w:rsidRPr="00011C06">
        <w:tab/>
      </w:r>
      <w:r w:rsidR="003D7B0B" w:rsidRPr="00011C06">
        <w:t>Antra</w:t>
      </w:r>
      <w:r w:rsidR="003D7B0B" w:rsidRPr="00011C06">
        <w:rPr>
          <w:u w:val="none"/>
        </w:rPr>
        <w:t>g</w:t>
      </w:r>
      <w:r w:rsidR="003D7B0B" w:rsidRPr="00011C06">
        <w:t>, Stellenausstattun</w:t>
      </w:r>
      <w:r w:rsidR="003D7B0B" w:rsidRPr="00011C06">
        <w:rPr>
          <w:u w:val="none"/>
        </w:rPr>
        <w:t>g</w:t>
      </w:r>
    </w:p>
    <w:p w:rsidR="003D7B0B" w:rsidRPr="00011C06" w:rsidRDefault="003D7B0B" w:rsidP="00884D6C"/>
    <w:p w:rsidR="00F80CE1" w:rsidRPr="00011C06" w:rsidRDefault="00062B11" w:rsidP="00F80CE1">
      <w:r w:rsidRPr="00011C06">
        <w:t>Geschaffen wird eine</w:t>
      </w:r>
      <w:r w:rsidR="00032475" w:rsidRPr="00011C06">
        <w:t xml:space="preserve"> 0,</w:t>
      </w:r>
      <w:r w:rsidRPr="00011C06">
        <w:t>70-Stelle</w:t>
      </w:r>
      <w:r w:rsidR="00F80CE1" w:rsidRPr="00011C06">
        <w:t xml:space="preserve"> in </w:t>
      </w:r>
      <w:r w:rsidRPr="00011C06">
        <w:t xml:space="preserve">Besoldungsgruppe </w:t>
      </w:r>
      <w:r w:rsidR="00F80CE1" w:rsidRPr="00011C06">
        <w:t xml:space="preserve">A 12 für die Überwachung </w:t>
      </w:r>
      <w:r w:rsidR="009F764F" w:rsidRPr="00011C06">
        <w:t>von mittelgroßen Feuerungs-, Gasturbinen- und Verbrennungsmotoranlagen</w:t>
      </w:r>
      <w:r w:rsidR="00F80CE1" w:rsidRPr="00011C06">
        <w:t xml:space="preserve"> </w:t>
      </w:r>
      <w:r w:rsidR="00971F17" w:rsidRPr="00011C06">
        <w:t xml:space="preserve">für das Sachgebiet 3 </w:t>
      </w:r>
      <w:r w:rsidR="000E7B6D" w:rsidRPr="00011C06">
        <w:t>in der</w:t>
      </w:r>
      <w:r w:rsidR="00D933D7" w:rsidRPr="00011C06">
        <w:t xml:space="preserve"> Leitbranche</w:t>
      </w:r>
      <w:r w:rsidR="009F764F" w:rsidRPr="00011C06">
        <w:t xml:space="preserve"> Versorgung</w:t>
      </w:r>
      <w:r w:rsidR="000E7B6D" w:rsidRPr="00011C06">
        <w:t xml:space="preserve"> s</w:t>
      </w:r>
      <w:r w:rsidR="009F764F" w:rsidRPr="00011C06">
        <w:t>owie dem Sonderdienst Dam</w:t>
      </w:r>
      <w:r w:rsidRPr="00011C06">
        <w:t>pfkessel- und Feuerungsanlagen</w:t>
      </w:r>
      <w:r w:rsidR="00F80CE1" w:rsidRPr="00011C06">
        <w:t>.</w:t>
      </w:r>
    </w:p>
    <w:p w:rsidR="003D7B0B" w:rsidRPr="00011C06" w:rsidRDefault="003D7B0B" w:rsidP="00884D6C">
      <w:pPr>
        <w:pStyle w:val="berschrift1"/>
      </w:pPr>
      <w:r w:rsidRPr="00011C06">
        <w:t>2</w:t>
      </w:r>
      <w:r w:rsidRPr="00011C06">
        <w:tab/>
        <w:t>Schaffun</w:t>
      </w:r>
      <w:r w:rsidRPr="00011C06">
        <w:rPr>
          <w:u w:val="none"/>
        </w:rPr>
        <w:t>g</w:t>
      </w:r>
      <w:r w:rsidRPr="00011C06">
        <w:t>skriterien</w:t>
      </w:r>
    </w:p>
    <w:p w:rsidR="0053633F" w:rsidRPr="00011C06" w:rsidRDefault="0053633F" w:rsidP="001945AE"/>
    <w:p w:rsidR="00062B11" w:rsidRPr="00011C06" w:rsidRDefault="00062B11" w:rsidP="001945AE">
      <w:r w:rsidRPr="00011C06">
        <w:t>Das Kriterium „erhebliche Arbeitsvermehrung, die nicht durch andere Maßnahmen abgefangen werden kann“ wurde im Umfang einer 0,70-Stelle nachgewiesen.</w:t>
      </w:r>
    </w:p>
    <w:p w:rsidR="003D7B0B" w:rsidRPr="00011C06" w:rsidRDefault="003D7B0B" w:rsidP="00884D6C">
      <w:pPr>
        <w:pStyle w:val="berschrift1"/>
      </w:pPr>
      <w:r w:rsidRPr="00011C06">
        <w:t>3</w:t>
      </w:r>
      <w:r w:rsidRPr="00011C06">
        <w:tab/>
        <w:t>Bedarf</w:t>
      </w:r>
    </w:p>
    <w:p w:rsidR="003D7B0B" w:rsidRPr="00011C06" w:rsidRDefault="00884D6C" w:rsidP="00884D6C">
      <w:pPr>
        <w:pStyle w:val="berschrift2"/>
      </w:pPr>
      <w:r w:rsidRPr="00011C06">
        <w:t>3.1</w:t>
      </w:r>
      <w:r w:rsidRPr="00011C06">
        <w:tab/>
      </w:r>
      <w:r w:rsidR="006E0575" w:rsidRPr="00011C06">
        <w:t>Anlass</w:t>
      </w:r>
    </w:p>
    <w:p w:rsidR="003D7B0B" w:rsidRPr="00011C06" w:rsidRDefault="003D7B0B" w:rsidP="00884D6C"/>
    <w:p w:rsidR="00062B11" w:rsidRPr="00011C06" w:rsidRDefault="00062B11" w:rsidP="00062B11">
      <w:pPr>
        <w:autoSpaceDE w:val="0"/>
        <w:autoSpaceDN w:val="0"/>
        <w:adjustRightInd w:val="0"/>
      </w:pPr>
      <w:r w:rsidRPr="00011C06">
        <w:t>Die am 20. Juni 2019 in Kraft getretene Verordnung über mittelgroße Feuerungs-, Gasturbinen- und Verbrennungsmotoranlagen (44. BImSchV) stellt neue bzw. weitergehende Anforderungen an Errichtung, die Beschaffenheit und den Betrieb von genehmigungsbedürftigen und nicht genehmigungsbedürftigen Feuerungsanlagen (mittelgroße Feuerungsanlagen, Gasturbinen- und Verbrennungsmotoranlagen) mit dem Ziel</w:t>
      </w:r>
      <w:r w:rsidR="00C55593" w:rsidRPr="00011C06">
        <w:t>,</w:t>
      </w:r>
      <w:r w:rsidRPr="00011C06">
        <w:t xml:space="preserve"> die Schadstoffbelastung der Luft deutlich zu reduzieren und damit den Gesundheitsschutz der Bevölkerung unmittelbar sowie den Klimaschutz sicherzustellen.</w:t>
      </w:r>
    </w:p>
    <w:p w:rsidR="00062B11" w:rsidRPr="00011C06" w:rsidRDefault="00062B11" w:rsidP="00062B11">
      <w:pPr>
        <w:pStyle w:val="Default"/>
        <w:rPr>
          <w:color w:val="auto"/>
        </w:rPr>
      </w:pPr>
    </w:p>
    <w:p w:rsidR="00062B11" w:rsidRPr="00011C06" w:rsidRDefault="00062B11" w:rsidP="00062B11">
      <w:pPr>
        <w:pStyle w:val="Default"/>
        <w:rPr>
          <w:color w:val="auto"/>
        </w:rPr>
      </w:pPr>
      <w:r w:rsidRPr="00011C06">
        <w:rPr>
          <w:color w:val="auto"/>
        </w:rPr>
        <w:t xml:space="preserve">Die Emissionsgrenzwerte der Verordnung sollen überwiegend zum 1. Januar 2025 wirksam werden, die übrigen Anforderungen ab dem Inkrafttreten der Verordnung (20. Juni 2019). Hierzu gehören die Anzeige und Registrierungspflicht für alle betroffenen Anlagen sowie Mess- und Überwachungspflichten, wobei die Messpflichten von kontinuierlichen und wiederkehrenden bis hin zu anlassbezogenen Messungen reichen. Außerdem </w:t>
      </w:r>
      <w:r w:rsidRPr="00011C06">
        <w:rPr>
          <w:color w:val="auto"/>
        </w:rPr>
        <w:lastRenderedPageBreak/>
        <w:t>ist eine Berichterstattungspflicht an die Europäische Kommission zur Emissionsentwicklung in den geregelten Anlagen im Fünfjahresabstand beginnend ab 2021 vorgesehen.</w:t>
      </w:r>
    </w:p>
    <w:p w:rsidR="00062B11" w:rsidRPr="00011C06" w:rsidRDefault="00062B11" w:rsidP="00062B11">
      <w:pPr>
        <w:autoSpaceDE w:val="0"/>
        <w:autoSpaceDN w:val="0"/>
        <w:adjustRightInd w:val="0"/>
      </w:pPr>
      <w:r w:rsidRPr="00011C06">
        <w:t>Der Erfüllungsaufwand für die Gewerbeaufsicht besteht im Wesentlichen aus der Einarbeitung in die neuen und komplexen Regelungen der 44. BImSchV, Begleitung und Beratung der Betreiber bei der Umstellung, die Bearbeitung der Registrierung bestehender Anlagen, die fachtechnische Bearbeitung von Änderungsgenehmigungen, die fachtechnische Vorbereitung von Anordnungen von nicht umgesetzten Maßnahmen.</w:t>
      </w:r>
    </w:p>
    <w:p w:rsidR="00062B11" w:rsidRPr="00011C06" w:rsidRDefault="00062B11" w:rsidP="00062B11">
      <w:pPr>
        <w:autoSpaceDE w:val="0"/>
        <w:autoSpaceDN w:val="0"/>
        <w:adjustRightInd w:val="0"/>
      </w:pPr>
    </w:p>
    <w:p w:rsidR="00062B11" w:rsidRPr="00011C06" w:rsidRDefault="00062B11" w:rsidP="00062B11">
      <w:pPr>
        <w:autoSpaceDE w:val="0"/>
        <w:autoSpaceDN w:val="0"/>
        <w:adjustRightInd w:val="0"/>
      </w:pPr>
      <w:r w:rsidRPr="00011C06">
        <w:t>Wiederkehrende Aufgaben umfassen die Überwachung der Messpflichten, die Prüfung von Messplanungen, die Begleitung und Auswertung der regelmäßig übermittelten Emissionsmessberichte sowie die Bearbeitung von Ausnahmeanträgen. Die bisherige wiederkehrende Messpflicht von drei Jahren bei immissionsschutzrechtlich genehmigungsbedürftigen Anlagen, wird durch die Änderung, in Abhängigkeit des Schadstoffes und der Anlagenart, bis auf ein Jahr verkürzt. Der Überwachungsaufwand steigt dadurch deutlich.</w:t>
      </w:r>
    </w:p>
    <w:p w:rsidR="00062B11" w:rsidRPr="00011C06" w:rsidRDefault="00062B11" w:rsidP="00062B11">
      <w:pPr>
        <w:rPr>
          <w:rFonts w:cs="Arial"/>
        </w:rPr>
      </w:pPr>
    </w:p>
    <w:p w:rsidR="00062B11" w:rsidRPr="00011C06" w:rsidRDefault="00062B11" w:rsidP="00062B11">
      <w:pPr>
        <w:autoSpaceDE w:val="0"/>
        <w:autoSpaceDN w:val="0"/>
        <w:adjustRightInd w:val="0"/>
      </w:pPr>
      <w:r w:rsidRPr="00011C06">
        <w:t>Zur Ermittlung des Erfüllungsaufwands geht der Gesetzgeber in seiner Begründung zur 44. BImSchV von 40.000 betriebenen mittelgroßen Feuerungsanlagen aus. Zur Ermittlung der für die Landeshauptstadt Stuttgart relevanten Anlagenzahl können zwei Arten von Abschätzungen vorgenommen werden. Bei Variante 1 wird die Gesamtanlagenzahl durch die Anzahl der Bundesländer und die Anzahl der Stadt- und Landkreise Baden-Württembergs dividiert. Die Variante 2 berechnet die Anlagenverteilung entsprechend der Bevölkerungszahl in Baden-Württemberg und der Landeshauptstadt Stuttgart.</w:t>
      </w:r>
    </w:p>
    <w:p w:rsidR="00062B11" w:rsidRPr="00011C06" w:rsidRDefault="00062B11" w:rsidP="00062B11">
      <w:pPr>
        <w:autoSpaceDE w:val="0"/>
        <w:autoSpaceDN w:val="0"/>
        <w:adjustRightInd w:val="0"/>
      </w:pPr>
    </w:p>
    <w:tbl>
      <w:tblPr>
        <w:tblStyle w:val="Tabellenraster"/>
        <w:tblW w:w="0" w:type="auto"/>
        <w:jc w:val="center"/>
        <w:tblLook w:val="04A0" w:firstRow="1" w:lastRow="0" w:firstColumn="1" w:lastColumn="0" w:noHBand="0" w:noVBand="1"/>
      </w:tblPr>
      <w:tblGrid>
        <w:gridCol w:w="2547"/>
        <w:gridCol w:w="2835"/>
        <w:gridCol w:w="2268"/>
        <w:gridCol w:w="1695"/>
      </w:tblGrid>
      <w:tr w:rsidR="00011C06" w:rsidRPr="00011C06" w:rsidTr="00900D10">
        <w:trPr>
          <w:jc w:val="center"/>
        </w:trPr>
        <w:tc>
          <w:tcPr>
            <w:tcW w:w="2547" w:type="dxa"/>
            <w:vMerge w:val="restart"/>
          </w:tcPr>
          <w:p w:rsidR="00062B11" w:rsidRPr="00011C06" w:rsidRDefault="00062B11" w:rsidP="00900D10">
            <w:pPr>
              <w:autoSpaceDE w:val="0"/>
              <w:autoSpaceDN w:val="0"/>
              <w:adjustRightInd w:val="0"/>
              <w:jc w:val="center"/>
              <w:rPr>
                <w:sz w:val="20"/>
                <w:szCs w:val="20"/>
              </w:rPr>
            </w:pPr>
          </w:p>
        </w:tc>
        <w:tc>
          <w:tcPr>
            <w:tcW w:w="2835" w:type="dxa"/>
          </w:tcPr>
          <w:p w:rsidR="00062B11" w:rsidRPr="00011C06" w:rsidRDefault="00062B11" w:rsidP="00900D10">
            <w:pPr>
              <w:autoSpaceDE w:val="0"/>
              <w:autoSpaceDN w:val="0"/>
              <w:adjustRightInd w:val="0"/>
              <w:jc w:val="center"/>
              <w:rPr>
                <w:b/>
                <w:sz w:val="20"/>
                <w:szCs w:val="20"/>
              </w:rPr>
            </w:pPr>
            <w:r w:rsidRPr="00011C06">
              <w:rPr>
                <w:b/>
                <w:sz w:val="20"/>
                <w:szCs w:val="20"/>
              </w:rPr>
              <w:t>Variante 1</w:t>
            </w:r>
          </w:p>
        </w:tc>
        <w:tc>
          <w:tcPr>
            <w:tcW w:w="2268" w:type="dxa"/>
          </w:tcPr>
          <w:p w:rsidR="00062B11" w:rsidRPr="00011C06" w:rsidRDefault="00062B11" w:rsidP="00900D10">
            <w:pPr>
              <w:autoSpaceDE w:val="0"/>
              <w:autoSpaceDN w:val="0"/>
              <w:adjustRightInd w:val="0"/>
              <w:jc w:val="center"/>
              <w:rPr>
                <w:b/>
                <w:sz w:val="20"/>
                <w:szCs w:val="20"/>
              </w:rPr>
            </w:pPr>
            <w:r w:rsidRPr="00011C06">
              <w:rPr>
                <w:b/>
                <w:sz w:val="20"/>
                <w:szCs w:val="20"/>
              </w:rPr>
              <w:t>Variante 2</w:t>
            </w:r>
          </w:p>
        </w:tc>
        <w:tc>
          <w:tcPr>
            <w:tcW w:w="1695" w:type="dxa"/>
          </w:tcPr>
          <w:p w:rsidR="00062B11" w:rsidRPr="00011C06" w:rsidRDefault="00062B11" w:rsidP="00900D10">
            <w:pPr>
              <w:autoSpaceDE w:val="0"/>
              <w:autoSpaceDN w:val="0"/>
              <w:adjustRightInd w:val="0"/>
              <w:jc w:val="center"/>
              <w:rPr>
                <w:b/>
                <w:sz w:val="20"/>
                <w:szCs w:val="20"/>
              </w:rPr>
            </w:pPr>
            <w:r w:rsidRPr="00011C06">
              <w:rPr>
                <w:b/>
                <w:sz w:val="20"/>
                <w:szCs w:val="20"/>
              </w:rPr>
              <w:t>Mittel V 1/V 2</w:t>
            </w:r>
          </w:p>
        </w:tc>
      </w:tr>
      <w:tr w:rsidR="00011C06" w:rsidRPr="00011C06" w:rsidTr="00900D10">
        <w:trPr>
          <w:jc w:val="center"/>
        </w:trPr>
        <w:tc>
          <w:tcPr>
            <w:tcW w:w="2547" w:type="dxa"/>
            <w:vMerge/>
          </w:tcPr>
          <w:p w:rsidR="00062B11" w:rsidRPr="00011C06" w:rsidRDefault="00062B11" w:rsidP="00900D10">
            <w:pPr>
              <w:autoSpaceDE w:val="0"/>
              <w:autoSpaceDN w:val="0"/>
              <w:adjustRightInd w:val="0"/>
              <w:rPr>
                <w:sz w:val="20"/>
                <w:szCs w:val="20"/>
              </w:rPr>
            </w:pPr>
          </w:p>
        </w:tc>
        <w:tc>
          <w:tcPr>
            <w:tcW w:w="2835" w:type="dxa"/>
          </w:tcPr>
          <w:p w:rsidR="00062B11" w:rsidRPr="00011C06" w:rsidRDefault="00062B11" w:rsidP="00900D10">
            <w:pPr>
              <w:autoSpaceDE w:val="0"/>
              <w:autoSpaceDN w:val="0"/>
              <w:adjustRightInd w:val="0"/>
              <w:rPr>
                <w:sz w:val="20"/>
                <w:szCs w:val="20"/>
              </w:rPr>
            </w:pPr>
            <w:r w:rsidRPr="00011C06">
              <w:rPr>
                <w:sz w:val="20"/>
                <w:szCs w:val="20"/>
              </w:rPr>
              <w:t>16 Bundesländer</w:t>
            </w:r>
          </w:p>
          <w:p w:rsidR="00062B11" w:rsidRPr="00011C06" w:rsidRDefault="00062B11" w:rsidP="00900D10">
            <w:pPr>
              <w:autoSpaceDE w:val="0"/>
              <w:autoSpaceDN w:val="0"/>
              <w:adjustRightInd w:val="0"/>
              <w:rPr>
                <w:sz w:val="20"/>
                <w:szCs w:val="20"/>
              </w:rPr>
            </w:pPr>
            <w:r w:rsidRPr="00011C06">
              <w:rPr>
                <w:sz w:val="20"/>
                <w:szCs w:val="20"/>
              </w:rPr>
              <w:t>44 Stadt- und Landkreise</w:t>
            </w:r>
          </w:p>
          <w:p w:rsidR="00062B11" w:rsidRPr="00011C06" w:rsidRDefault="00062B11" w:rsidP="00900D10">
            <w:pPr>
              <w:autoSpaceDE w:val="0"/>
              <w:autoSpaceDN w:val="0"/>
              <w:adjustRightInd w:val="0"/>
              <w:rPr>
                <w:sz w:val="20"/>
                <w:szCs w:val="20"/>
              </w:rPr>
            </w:pPr>
            <w:r w:rsidRPr="00011C06">
              <w:rPr>
                <w:sz w:val="20"/>
                <w:szCs w:val="20"/>
              </w:rPr>
              <w:t>Landeshauptstadt Stuttgart</w:t>
            </w:r>
          </w:p>
        </w:tc>
        <w:tc>
          <w:tcPr>
            <w:tcW w:w="2268" w:type="dxa"/>
          </w:tcPr>
          <w:p w:rsidR="00062B11" w:rsidRPr="00011C06" w:rsidRDefault="00062B11" w:rsidP="00900D10">
            <w:pPr>
              <w:autoSpaceDE w:val="0"/>
              <w:autoSpaceDN w:val="0"/>
              <w:adjustRightInd w:val="0"/>
              <w:rPr>
                <w:sz w:val="20"/>
                <w:szCs w:val="20"/>
              </w:rPr>
            </w:pPr>
            <w:r w:rsidRPr="00011C06">
              <w:rPr>
                <w:sz w:val="20"/>
                <w:szCs w:val="20"/>
              </w:rPr>
              <w:t>Bevölkerung 83. Mio.</w:t>
            </w:r>
          </w:p>
          <w:p w:rsidR="00062B11" w:rsidRPr="00011C06" w:rsidRDefault="00062B11" w:rsidP="00900D10">
            <w:pPr>
              <w:autoSpaceDE w:val="0"/>
              <w:autoSpaceDN w:val="0"/>
              <w:adjustRightInd w:val="0"/>
              <w:rPr>
                <w:sz w:val="20"/>
                <w:szCs w:val="20"/>
              </w:rPr>
            </w:pPr>
            <w:r w:rsidRPr="00011C06">
              <w:rPr>
                <w:sz w:val="20"/>
                <w:szCs w:val="20"/>
              </w:rPr>
              <w:t>Bevölkerung 11 Mio.</w:t>
            </w:r>
          </w:p>
          <w:p w:rsidR="00062B11" w:rsidRPr="00011C06" w:rsidRDefault="00062B11" w:rsidP="00900D10">
            <w:pPr>
              <w:autoSpaceDE w:val="0"/>
              <w:autoSpaceDN w:val="0"/>
              <w:adjustRightInd w:val="0"/>
              <w:rPr>
                <w:sz w:val="20"/>
                <w:szCs w:val="20"/>
              </w:rPr>
            </w:pPr>
            <w:r w:rsidRPr="00011C06">
              <w:rPr>
                <w:sz w:val="20"/>
                <w:szCs w:val="20"/>
              </w:rPr>
              <w:t>Bevölkerung 0,64 Mio.</w:t>
            </w:r>
          </w:p>
        </w:tc>
        <w:tc>
          <w:tcPr>
            <w:tcW w:w="1695" w:type="dxa"/>
          </w:tcPr>
          <w:p w:rsidR="00062B11" w:rsidRPr="00011C06" w:rsidRDefault="00062B11" w:rsidP="00900D10">
            <w:pPr>
              <w:autoSpaceDE w:val="0"/>
              <w:autoSpaceDN w:val="0"/>
              <w:adjustRightInd w:val="0"/>
              <w:jc w:val="center"/>
              <w:rPr>
                <w:sz w:val="20"/>
                <w:szCs w:val="20"/>
              </w:rPr>
            </w:pPr>
          </w:p>
        </w:tc>
      </w:tr>
      <w:tr w:rsidR="00011C06" w:rsidRPr="00011C06" w:rsidTr="00900D10">
        <w:trPr>
          <w:jc w:val="center"/>
        </w:trPr>
        <w:tc>
          <w:tcPr>
            <w:tcW w:w="2547" w:type="dxa"/>
          </w:tcPr>
          <w:p w:rsidR="00062B11" w:rsidRPr="00011C06" w:rsidRDefault="00062B11" w:rsidP="00900D10">
            <w:pPr>
              <w:autoSpaceDE w:val="0"/>
              <w:autoSpaceDN w:val="0"/>
              <w:adjustRightInd w:val="0"/>
              <w:rPr>
                <w:sz w:val="20"/>
                <w:szCs w:val="20"/>
              </w:rPr>
            </w:pPr>
            <w:r w:rsidRPr="00011C06">
              <w:rPr>
                <w:sz w:val="20"/>
                <w:szCs w:val="20"/>
              </w:rPr>
              <w:t>Anlagenzahl ges.</w:t>
            </w:r>
          </w:p>
        </w:tc>
        <w:tc>
          <w:tcPr>
            <w:tcW w:w="2835" w:type="dxa"/>
          </w:tcPr>
          <w:p w:rsidR="00062B11" w:rsidRPr="00011C06" w:rsidRDefault="00062B11" w:rsidP="00900D10">
            <w:pPr>
              <w:autoSpaceDE w:val="0"/>
              <w:autoSpaceDN w:val="0"/>
              <w:adjustRightInd w:val="0"/>
              <w:jc w:val="center"/>
              <w:rPr>
                <w:sz w:val="20"/>
                <w:szCs w:val="20"/>
              </w:rPr>
            </w:pPr>
            <w:r w:rsidRPr="00011C06">
              <w:rPr>
                <w:sz w:val="20"/>
                <w:szCs w:val="20"/>
              </w:rPr>
              <w:t>40.000</w:t>
            </w:r>
          </w:p>
        </w:tc>
        <w:tc>
          <w:tcPr>
            <w:tcW w:w="2268" w:type="dxa"/>
          </w:tcPr>
          <w:p w:rsidR="00062B11" w:rsidRPr="00011C06" w:rsidRDefault="00062B11" w:rsidP="00900D10">
            <w:pPr>
              <w:autoSpaceDE w:val="0"/>
              <w:autoSpaceDN w:val="0"/>
              <w:adjustRightInd w:val="0"/>
              <w:jc w:val="center"/>
              <w:rPr>
                <w:sz w:val="20"/>
                <w:szCs w:val="20"/>
              </w:rPr>
            </w:pPr>
            <w:r w:rsidRPr="00011C06">
              <w:rPr>
                <w:sz w:val="20"/>
                <w:szCs w:val="20"/>
              </w:rPr>
              <w:t>40.000</w:t>
            </w:r>
          </w:p>
        </w:tc>
        <w:tc>
          <w:tcPr>
            <w:tcW w:w="1695" w:type="dxa"/>
          </w:tcPr>
          <w:p w:rsidR="00062B11" w:rsidRPr="00011C06" w:rsidRDefault="00062B11" w:rsidP="00900D10">
            <w:pPr>
              <w:autoSpaceDE w:val="0"/>
              <w:autoSpaceDN w:val="0"/>
              <w:adjustRightInd w:val="0"/>
              <w:jc w:val="center"/>
              <w:rPr>
                <w:sz w:val="20"/>
                <w:szCs w:val="20"/>
              </w:rPr>
            </w:pPr>
            <w:r w:rsidRPr="00011C06">
              <w:rPr>
                <w:sz w:val="20"/>
                <w:szCs w:val="20"/>
              </w:rPr>
              <w:t>40.000</w:t>
            </w:r>
          </w:p>
        </w:tc>
      </w:tr>
      <w:tr w:rsidR="00011C06" w:rsidRPr="00011C06" w:rsidTr="00900D10">
        <w:trPr>
          <w:jc w:val="center"/>
        </w:trPr>
        <w:tc>
          <w:tcPr>
            <w:tcW w:w="2547" w:type="dxa"/>
          </w:tcPr>
          <w:p w:rsidR="00062B11" w:rsidRPr="00011C06" w:rsidRDefault="00062B11" w:rsidP="00900D10">
            <w:pPr>
              <w:autoSpaceDE w:val="0"/>
              <w:autoSpaceDN w:val="0"/>
              <w:adjustRightInd w:val="0"/>
              <w:rPr>
                <w:sz w:val="20"/>
                <w:szCs w:val="20"/>
              </w:rPr>
            </w:pPr>
            <w:r w:rsidRPr="00011C06">
              <w:rPr>
                <w:sz w:val="20"/>
                <w:szCs w:val="20"/>
              </w:rPr>
              <w:t>Bundesland B.-W.</w:t>
            </w:r>
          </w:p>
        </w:tc>
        <w:tc>
          <w:tcPr>
            <w:tcW w:w="2835" w:type="dxa"/>
          </w:tcPr>
          <w:p w:rsidR="00062B11" w:rsidRPr="00011C06" w:rsidRDefault="00062B11" w:rsidP="00900D10">
            <w:pPr>
              <w:autoSpaceDE w:val="0"/>
              <w:autoSpaceDN w:val="0"/>
              <w:adjustRightInd w:val="0"/>
              <w:jc w:val="center"/>
              <w:rPr>
                <w:sz w:val="20"/>
                <w:szCs w:val="20"/>
              </w:rPr>
            </w:pPr>
            <w:r w:rsidRPr="00011C06">
              <w:rPr>
                <w:sz w:val="20"/>
                <w:szCs w:val="20"/>
              </w:rPr>
              <w:t>2.500</w:t>
            </w:r>
          </w:p>
        </w:tc>
        <w:tc>
          <w:tcPr>
            <w:tcW w:w="2268" w:type="dxa"/>
          </w:tcPr>
          <w:p w:rsidR="00062B11" w:rsidRPr="00011C06" w:rsidRDefault="00062B11" w:rsidP="00900D10">
            <w:pPr>
              <w:autoSpaceDE w:val="0"/>
              <w:autoSpaceDN w:val="0"/>
              <w:adjustRightInd w:val="0"/>
              <w:jc w:val="center"/>
              <w:rPr>
                <w:sz w:val="20"/>
                <w:szCs w:val="20"/>
              </w:rPr>
            </w:pPr>
            <w:r w:rsidRPr="00011C06">
              <w:rPr>
                <w:sz w:val="20"/>
                <w:szCs w:val="20"/>
              </w:rPr>
              <w:t>5.300</w:t>
            </w:r>
          </w:p>
        </w:tc>
        <w:tc>
          <w:tcPr>
            <w:tcW w:w="1695" w:type="dxa"/>
          </w:tcPr>
          <w:p w:rsidR="00062B11" w:rsidRPr="00011C06" w:rsidRDefault="00062B11" w:rsidP="00900D10">
            <w:pPr>
              <w:autoSpaceDE w:val="0"/>
              <w:autoSpaceDN w:val="0"/>
              <w:adjustRightInd w:val="0"/>
              <w:jc w:val="center"/>
              <w:rPr>
                <w:sz w:val="20"/>
                <w:szCs w:val="20"/>
              </w:rPr>
            </w:pPr>
            <w:r w:rsidRPr="00011C06">
              <w:rPr>
                <w:sz w:val="20"/>
                <w:szCs w:val="20"/>
              </w:rPr>
              <w:t>3900</w:t>
            </w:r>
          </w:p>
        </w:tc>
      </w:tr>
      <w:tr w:rsidR="00062B11" w:rsidRPr="00011C06" w:rsidTr="00900D10">
        <w:trPr>
          <w:jc w:val="center"/>
        </w:trPr>
        <w:tc>
          <w:tcPr>
            <w:tcW w:w="2547" w:type="dxa"/>
          </w:tcPr>
          <w:p w:rsidR="00062B11" w:rsidRPr="00011C06" w:rsidRDefault="00062B11" w:rsidP="00900D10">
            <w:pPr>
              <w:autoSpaceDE w:val="0"/>
              <w:autoSpaceDN w:val="0"/>
              <w:adjustRightInd w:val="0"/>
              <w:rPr>
                <w:sz w:val="20"/>
                <w:szCs w:val="20"/>
              </w:rPr>
            </w:pPr>
            <w:r w:rsidRPr="00011C06">
              <w:rPr>
                <w:sz w:val="20"/>
                <w:szCs w:val="20"/>
              </w:rPr>
              <w:t>Stadt Stuttgart</w:t>
            </w:r>
          </w:p>
        </w:tc>
        <w:tc>
          <w:tcPr>
            <w:tcW w:w="2835" w:type="dxa"/>
          </w:tcPr>
          <w:p w:rsidR="00062B11" w:rsidRPr="00011C06" w:rsidRDefault="00062B11" w:rsidP="00900D10">
            <w:pPr>
              <w:autoSpaceDE w:val="0"/>
              <w:autoSpaceDN w:val="0"/>
              <w:adjustRightInd w:val="0"/>
              <w:jc w:val="center"/>
              <w:rPr>
                <w:sz w:val="20"/>
                <w:szCs w:val="20"/>
              </w:rPr>
            </w:pPr>
            <w:r w:rsidRPr="00011C06">
              <w:rPr>
                <w:sz w:val="20"/>
                <w:szCs w:val="20"/>
              </w:rPr>
              <w:t>57</w:t>
            </w:r>
          </w:p>
        </w:tc>
        <w:tc>
          <w:tcPr>
            <w:tcW w:w="2268" w:type="dxa"/>
          </w:tcPr>
          <w:p w:rsidR="00062B11" w:rsidRPr="00011C06" w:rsidRDefault="00062B11" w:rsidP="00900D10">
            <w:pPr>
              <w:autoSpaceDE w:val="0"/>
              <w:autoSpaceDN w:val="0"/>
              <w:adjustRightInd w:val="0"/>
              <w:jc w:val="center"/>
              <w:rPr>
                <w:sz w:val="20"/>
                <w:szCs w:val="20"/>
              </w:rPr>
            </w:pPr>
            <w:r w:rsidRPr="00011C06">
              <w:rPr>
                <w:sz w:val="20"/>
                <w:szCs w:val="20"/>
              </w:rPr>
              <w:t>305</w:t>
            </w:r>
          </w:p>
        </w:tc>
        <w:tc>
          <w:tcPr>
            <w:tcW w:w="1695" w:type="dxa"/>
          </w:tcPr>
          <w:p w:rsidR="00062B11" w:rsidRPr="00011C06" w:rsidRDefault="00062B11" w:rsidP="00900D10">
            <w:pPr>
              <w:autoSpaceDE w:val="0"/>
              <w:autoSpaceDN w:val="0"/>
              <w:adjustRightInd w:val="0"/>
              <w:jc w:val="center"/>
              <w:rPr>
                <w:sz w:val="20"/>
                <w:szCs w:val="20"/>
              </w:rPr>
            </w:pPr>
            <w:r w:rsidRPr="00011C06">
              <w:rPr>
                <w:sz w:val="20"/>
                <w:szCs w:val="20"/>
              </w:rPr>
              <w:t>181</w:t>
            </w:r>
          </w:p>
        </w:tc>
      </w:tr>
    </w:tbl>
    <w:p w:rsidR="00062B11" w:rsidRPr="00011C06" w:rsidRDefault="00062B11" w:rsidP="00062B11">
      <w:pPr>
        <w:autoSpaceDE w:val="0"/>
        <w:autoSpaceDN w:val="0"/>
        <w:adjustRightInd w:val="0"/>
      </w:pPr>
    </w:p>
    <w:p w:rsidR="0048382D" w:rsidRPr="00011C06" w:rsidRDefault="00062B11" w:rsidP="0048382D">
      <w:pPr>
        <w:autoSpaceDE w:val="0"/>
        <w:autoSpaceDN w:val="0"/>
        <w:adjustRightInd w:val="0"/>
      </w:pPr>
      <w:r w:rsidRPr="00011C06">
        <w:t>Die Variante 1 dürfte die Anlagenanzahl unterschätzen, die Variante 2 dürfte die Anlagenanzahl überschätzen. Es wird deshalb das Mittel aus beiden Varianten für die Anlagenanzahl angenommen.</w:t>
      </w:r>
    </w:p>
    <w:p w:rsidR="003D7B0B" w:rsidRPr="00011C06" w:rsidRDefault="003D7B0B" w:rsidP="0048382D">
      <w:pPr>
        <w:pStyle w:val="berschrift2"/>
      </w:pPr>
      <w:r w:rsidRPr="00011C06">
        <w:t>3.2</w:t>
      </w:r>
      <w:r w:rsidRPr="00011C06">
        <w:tab/>
        <w:t>Bisherige Aufgabenwahrnehmung</w:t>
      </w:r>
    </w:p>
    <w:p w:rsidR="003D7B0B" w:rsidRPr="00011C06" w:rsidRDefault="003D7B0B" w:rsidP="00884D6C"/>
    <w:p w:rsidR="00876CF0" w:rsidRPr="00011C06" w:rsidRDefault="00E36F27" w:rsidP="00884D6C">
      <w:r w:rsidRPr="00011C06">
        <w:t>Für Feuerungsan</w:t>
      </w:r>
      <w:r w:rsidR="00E63D71" w:rsidRPr="00011C06">
        <w:t>l</w:t>
      </w:r>
      <w:r w:rsidRPr="00011C06">
        <w:t>a</w:t>
      </w:r>
      <w:r w:rsidR="00E63D71" w:rsidRPr="00011C06">
        <w:t>gen ab 1 MW, unabhän</w:t>
      </w:r>
      <w:r w:rsidR="00FA443F" w:rsidRPr="00011C06">
        <w:t>g</w:t>
      </w:r>
      <w:r w:rsidR="00E63D71" w:rsidRPr="00011C06">
        <w:t>ig vom Brennstoff,</w:t>
      </w:r>
      <w:r w:rsidR="0041240A" w:rsidRPr="00011C06">
        <w:t xml:space="preserve"> wechselt jetzt </w:t>
      </w:r>
      <w:r w:rsidR="00E63D71" w:rsidRPr="00011C06">
        <w:t>die fachtechnische Zuständigkeit von den Schorns</w:t>
      </w:r>
      <w:r w:rsidR="00062B11" w:rsidRPr="00011C06">
        <w:t>teinfegern zur Gewerbeaufsicht.</w:t>
      </w:r>
    </w:p>
    <w:p w:rsidR="003D7B0B" w:rsidRPr="00011C06" w:rsidRDefault="006E0575" w:rsidP="00884D6C">
      <w:pPr>
        <w:pStyle w:val="berschrift2"/>
      </w:pPr>
      <w:r w:rsidRPr="00011C06">
        <w:t>3.3</w:t>
      </w:r>
      <w:r w:rsidR="003D7B0B" w:rsidRPr="00011C06">
        <w:tab/>
        <w:t>Auswirkungen bei Ablehnung der Stellenschaffungen</w:t>
      </w:r>
    </w:p>
    <w:p w:rsidR="003D7B0B" w:rsidRPr="00011C06" w:rsidRDefault="003D7B0B" w:rsidP="00884D6C"/>
    <w:p w:rsidR="00B47B07" w:rsidRPr="00011C06" w:rsidRDefault="00563DF3" w:rsidP="00563DF3">
      <w:pPr>
        <w:autoSpaceDE w:val="0"/>
        <w:autoSpaceDN w:val="0"/>
        <w:adjustRightInd w:val="0"/>
      </w:pPr>
      <w:r w:rsidRPr="00011C06">
        <w:t xml:space="preserve">Die </w:t>
      </w:r>
      <w:r w:rsidR="007B7B64" w:rsidRPr="00011C06">
        <w:t>Ums</w:t>
      </w:r>
      <w:r w:rsidRPr="00011C06">
        <w:t>etzung des Stands der Technik für die</w:t>
      </w:r>
      <w:r w:rsidR="00B47B07" w:rsidRPr="00011C06">
        <w:t xml:space="preserve"> Feuerungsanlagen </w:t>
      </w:r>
      <w:r w:rsidRPr="00011C06">
        <w:t>ist nicht sicher</w:t>
      </w:r>
      <w:r w:rsidR="00B47B07" w:rsidRPr="00011C06">
        <w:t>gestellt.</w:t>
      </w:r>
    </w:p>
    <w:p w:rsidR="00B47B07" w:rsidRPr="00011C06" w:rsidRDefault="00B47B07" w:rsidP="00563DF3">
      <w:pPr>
        <w:autoSpaceDE w:val="0"/>
        <w:autoSpaceDN w:val="0"/>
        <w:adjustRightInd w:val="0"/>
      </w:pPr>
    </w:p>
    <w:p w:rsidR="00B47B07" w:rsidRPr="00011C06" w:rsidRDefault="00563DF3" w:rsidP="00563DF3">
      <w:pPr>
        <w:autoSpaceDE w:val="0"/>
        <w:autoSpaceDN w:val="0"/>
        <w:adjustRightInd w:val="0"/>
      </w:pPr>
      <w:r w:rsidRPr="00011C06">
        <w:t>Die Registrierung der</w:t>
      </w:r>
      <w:r w:rsidR="007B7B64" w:rsidRPr="00011C06">
        <w:t xml:space="preserve"> Anlagen </w:t>
      </w:r>
      <w:r w:rsidRPr="00011C06">
        <w:t>in der Fachanwendung der Gewerbeaufsicht erfolgt nicht</w:t>
      </w:r>
      <w:r w:rsidR="00221B6F" w:rsidRPr="00011C06">
        <w:t xml:space="preserve"> wie vom Umweltministerium</w:t>
      </w:r>
      <w:r w:rsidRPr="00011C06">
        <w:t xml:space="preserve"> B.-W. vorgeben. Damit sind die vorhandenen Anlagen (Anlagenanzahl, Branchenentwicklung, Gesamtemissionen)</w:t>
      </w:r>
      <w:r w:rsidR="00B47B07" w:rsidRPr="00011C06">
        <w:t xml:space="preserve"> und Emissionsquellen</w:t>
      </w:r>
      <w:r w:rsidRPr="00011C06">
        <w:t xml:space="preserve"> nicht bekannt, der Stand der Technik </w:t>
      </w:r>
      <w:r w:rsidR="00B47B07" w:rsidRPr="00011C06">
        <w:t>wird nicht</w:t>
      </w:r>
      <w:r w:rsidRPr="00011C06">
        <w:t xml:space="preserve"> dokumentiert, die Prüf- und Messpflichte</w:t>
      </w:r>
      <w:r w:rsidR="00B47B07" w:rsidRPr="00011C06">
        <w:t>n nicht überwacht.</w:t>
      </w:r>
    </w:p>
    <w:p w:rsidR="007B7B64" w:rsidRPr="00011C06" w:rsidRDefault="00B47B07" w:rsidP="00563DF3">
      <w:pPr>
        <w:autoSpaceDE w:val="0"/>
        <w:autoSpaceDN w:val="0"/>
        <w:adjustRightInd w:val="0"/>
      </w:pPr>
      <w:r w:rsidRPr="00011C06">
        <w:lastRenderedPageBreak/>
        <w:t xml:space="preserve">Die </w:t>
      </w:r>
      <w:r w:rsidR="00563DF3" w:rsidRPr="00011C06">
        <w:t xml:space="preserve">Anfragen des Bundes an die Länder sowie die Berichtspflichten </w:t>
      </w:r>
      <w:r w:rsidR="00024A32" w:rsidRPr="00011C06">
        <w:t xml:space="preserve">des Bundes </w:t>
      </w:r>
      <w:r w:rsidR="00563DF3" w:rsidRPr="00011C06">
        <w:t xml:space="preserve">an die EU </w:t>
      </w:r>
      <w:r w:rsidRPr="00011C06">
        <w:t>können n</w:t>
      </w:r>
      <w:r w:rsidR="00563DF3" w:rsidRPr="00011C06">
        <w:t>icht wahrgenommen werden.</w:t>
      </w:r>
    </w:p>
    <w:p w:rsidR="007B7B64" w:rsidRPr="00011C06" w:rsidRDefault="007B7B64" w:rsidP="00563DF3"/>
    <w:p w:rsidR="00B47B07" w:rsidRPr="00011C06" w:rsidRDefault="00B47B07" w:rsidP="00B47B07">
      <w:pPr>
        <w:autoSpaceDE w:val="0"/>
        <w:autoSpaceDN w:val="0"/>
        <w:adjustRightInd w:val="0"/>
      </w:pPr>
      <w:r w:rsidRPr="00011C06">
        <w:t>Die Emissionsminderungsverpflichtungen der Richtlinie (EU) 2016/2284 können nicht eingehalten werden</w:t>
      </w:r>
      <w:r w:rsidR="00876CF0" w:rsidRPr="00011C06">
        <w:t>. Die Bundesrepublik kommt den i</w:t>
      </w:r>
      <w:r w:rsidRPr="00011C06">
        <w:t>hr auferlegten Pflichten nicht nach.</w:t>
      </w:r>
    </w:p>
    <w:p w:rsidR="00B47B07" w:rsidRPr="00011C06" w:rsidRDefault="00B47B07" w:rsidP="00563DF3"/>
    <w:p w:rsidR="00B47B07" w:rsidRPr="00011C06" w:rsidRDefault="00B47B07" w:rsidP="00062B11">
      <w:pPr>
        <w:autoSpaceDE w:val="0"/>
        <w:autoSpaceDN w:val="0"/>
        <w:adjustRightInd w:val="0"/>
      </w:pPr>
      <w:r w:rsidRPr="00011C06">
        <w:t>Das Ziel die Schadstoffbelastung der Luft deutlich zu reduzieren und damit den Gesundheitsschutz der Bevölkerung unmittelbar und den Klimaschutz insgesamt sicher zu stellen wird nicht erreicht.</w:t>
      </w:r>
    </w:p>
    <w:p w:rsidR="003D7B0B" w:rsidRPr="00011C06" w:rsidRDefault="00884D6C" w:rsidP="00884D6C">
      <w:pPr>
        <w:pStyle w:val="berschrift1"/>
      </w:pPr>
      <w:r w:rsidRPr="00011C06">
        <w:t>4</w:t>
      </w:r>
      <w:r w:rsidRPr="00011C06">
        <w:tab/>
      </w:r>
      <w:r w:rsidR="003D7B0B" w:rsidRPr="00011C06">
        <w:t>Stellenvermerke</w:t>
      </w:r>
    </w:p>
    <w:p w:rsidR="003D7B0B" w:rsidRPr="00011C06" w:rsidRDefault="003D7B0B" w:rsidP="00884D6C"/>
    <w:p w:rsidR="00DE362D" w:rsidRPr="00011C06" w:rsidRDefault="00062B11" w:rsidP="00884D6C">
      <w:r w:rsidRPr="00011C06">
        <w:t>Keine</w:t>
      </w:r>
    </w:p>
    <w:sectPr w:rsidR="00DE362D" w:rsidRPr="00011C06"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4E" w:rsidRDefault="001E644E">
      <w:r>
        <w:separator/>
      </w:r>
    </w:p>
  </w:endnote>
  <w:endnote w:type="continuationSeparator" w:id="0">
    <w:p w:rsidR="001E644E" w:rsidRDefault="001E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4E" w:rsidRDefault="001E644E">
      <w:r>
        <w:separator/>
      </w:r>
    </w:p>
  </w:footnote>
  <w:footnote w:type="continuationSeparator" w:id="0">
    <w:p w:rsidR="001E644E" w:rsidRDefault="001E6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E10340">
      <w:rPr>
        <w:rStyle w:val="Seitenzahl"/>
        <w:noProof/>
      </w:rPr>
      <w:t>3</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2374552A"/>
    <w:multiLevelType w:val="hybridMultilevel"/>
    <w:tmpl w:val="DC380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D43A40"/>
    <w:multiLevelType w:val="hybridMultilevel"/>
    <w:tmpl w:val="CCD80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E34494"/>
    <w:multiLevelType w:val="hybridMultilevel"/>
    <w:tmpl w:val="231AEAB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4DE34839"/>
    <w:multiLevelType w:val="hybridMultilevel"/>
    <w:tmpl w:val="FAE4B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15:restartNumberingAfterBreak="0">
    <w:nsid w:val="70F368E1"/>
    <w:multiLevelType w:val="hybridMultilevel"/>
    <w:tmpl w:val="88E8A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6"/>
  </w:num>
  <w:num w:numId="5">
    <w:abstractNumId w:val="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36"/>
    <w:rsid w:val="00002A84"/>
    <w:rsid w:val="00011C06"/>
    <w:rsid w:val="00020089"/>
    <w:rsid w:val="00024A32"/>
    <w:rsid w:val="00032475"/>
    <w:rsid w:val="00055758"/>
    <w:rsid w:val="00062B11"/>
    <w:rsid w:val="00087F3E"/>
    <w:rsid w:val="000A1146"/>
    <w:rsid w:val="000E7B6D"/>
    <w:rsid w:val="001034AF"/>
    <w:rsid w:val="0011112B"/>
    <w:rsid w:val="0014415D"/>
    <w:rsid w:val="00150084"/>
    <w:rsid w:val="00151488"/>
    <w:rsid w:val="00163034"/>
    <w:rsid w:val="00164678"/>
    <w:rsid w:val="00165C0D"/>
    <w:rsid w:val="00171DC8"/>
    <w:rsid w:val="00181857"/>
    <w:rsid w:val="00183820"/>
    <w:rsid w:val="00184EDC"/>
    <w:rsid w:val="001945AE"/>
    <w:rsid w:val="00194770"/>
    <w:rsid w:val="001A5F9B"/>
    <w:rsid w:val="001C4327"/>
    <w:rsid w:val="001C5496"/>
    <w:rsid w:val="001E644E"/>
    <w:rsid w:val="001F7237"/>
    <w:rsid w:val="00221B6F"/>
    <w:rsid w:val="002277B4"/>
    <w:rsid w:val="002319F0"/>
    <w:rsid w:val="00235CA1"/>
    <w:rsid w:val="00245B60"/>
    <w:rsid w:val="002924CB"/>
    <w:rsid w:val="002A20D1"/>
    <w:rsid w:val="002A4DE3"/>
    <w:rsid w:val="002B3406"/>
    <w:rsid w:val="002B5955"/>
    <w:rsid w:val="002F5865"/>
    <w:rsid w:val="00304FB4"/>
    <w:rsid w:val="0030686C"/>
    <w:rsid w:val="00380937"/>
    <w:rsid w:val="00397717"/>
    <w:rsid w:val="003A3EED"/>
    <w:rsid w:val="003D18B7"/>
    <w:rsid w:val="003D7B0B"/>
    <w:rsid w:val="003F0FAA"/>
    <w:rsid w:val="0041240A"/>
    <w:rsid w:val="00443801"/>
    <w:rsid w:val="00452A49"/>
    <w:rsid w:val="00470135"/>
    <w:rsid w:val="004753A1"/>
    <w:rsid w:val="0047606A"/>
    <w:rsid w:val="00477633"/>
    <w:rsid w:val="0048382D"/>
    <w:rsid w:val="004846A3"/>
    <w:rsid w:val="00484E70"/>
    <w:rsid w:val="004908B5"/>
    <w:rsid w:val="0049121B"/>
    <w:rsid w:val="004A1688"/>
    <w:rsid w:val="004B6796"/>
    <w:rsid w:val="004E46B2"/>
    <w:rsid w:val="0051274D"/>
    <w:rsid w:val="00517555"/>
    <w:rsid w:val="0052102D"/>
    <w:rsid w:val="00531871"/>
    <w:rsid w:val="0053633F"/>
    <w:rsid w:val="00563DF3"/>
    <w:rsid w:val="005A0A9D"/>
    <w:rsid w:val="005A56AA"/>
    <w:rsid w:val="005D3AFD"/>
    <w:rsid w:val="005E19C6"/>
    <w:rsid w:val="005F4E2E"/>
    <w:rsid w:val="005F53D2"/>
    <w:rsid w:val="005F5B3D"/>
    <w:rsid w:val="005F6541"/>
    <w:rsid w:val="0060211C"/>
    <w:rsid w:val="00606F80"/>
    <w:rsid w:val="00622CC7"/>
    <w:rsid w:val="006A406B"/>
    <w:rsid w:val="006A5B5A"/>
    <w:rsid w:val="006B6D50"/>
    <w:rsid w:val="006E0575"/>
    <w:rsid w:val="0072799A"/>
    <w:rsid w:val="007370C3"/>
    <w:rsid w:val="00754659"/>
    <w:rsid w:val="007860BA"/>
    <w:rsid w:val="007B7B64"/>
    <w:rsid w:val="007C0E7F"/>
    <w:rsid w:val="007E3B79"/>
    <w:rsid w:val="008066EE"/>
    <w:rsid w:val="00811F34"/>
    <w:rsid w:val="0081235E"/>
    <w:rsid w:val="008166DE"/>
    <w:rsid w:val="00817BB6"/>
    <w:rsid w:val="0085186F"/>
    <w:rsid w:val="00864E28"/>
    <w:rsid w:val="00874A63"/>
    <w:rsid w:val="00876CF0"/>
    <w:rsid w:val="00884D6C"/>
    <w:rsid w:val="00894A46"/>
    <w:rsid w:val="00897A5F"/>
    <w:rsid w:val="008A123C"/>
    <w:rsid w:val="008B041F"/>
    <w:rsid w:val="00920F00"/>
    <w:rsid w:val="009373F6"/>
    <w:rsid w:val="00942421"/>
    <w:rsid w:val="0094764A"/>
    <w:rsid w:val="00954790"/>
    <w:rsid w:val="00971F17"/>
    <w:rsid w:val="00976588"/>
    <w:rsid w:val="009C29A9"/>
    <w:rsid w:val="009F764F"/>
    <w:rsid w:val="00A27CA7"/>
    <w:rsid w:val="00A427B1"/>
    <w:rsid w:val="00A45B30"/>
    <w:rsid w:val="00A60435"/>
    <w:rsid w:val="00A71D0A"/>
    <w:rsid w:val="00A74BCB"/>
    <w:rsid w:val="00A75A6F"/>
    <w:rsid w:val="00A77F1E"/>
    <w:rsid w:val="00A847C4"/>
    <w:rsid w:val="00AB389D"/>
    <w:rsid w:val="00AD4598"/>
    <w:rsid w:val="00AE7B02"/>
    <w:rsid w:val="00AF0DEA"/>
    <w:rsid w:val="00AF25E0"/>
    <w:rsid w:val="00B04290"/>
    <w:rsid w:val="00B077E3"/>
    <w:rsid w:val="00B32AB9"/>
    <w:rsid w:val="00B47B07"/>
    <w:rsid w:val="00B57D3D"/>
    <w:rsid w:val="00B80DEF"/>
    <w:rsid w:val="00B84D29"/>
    <w:rsid w:val="00B86BB5"/>
    <w:rsid w:val="00B91903"/>
    <w:rsid w:val="00BA330D"/>
    <w:rsid w:val="00BC4669"/>
    <w:rsid w:val="00BC4EE3"/>
    <w:rsid w:val="00BD75F7"/>
    <w:rsid w:val="00BE3D93"/>
    <w:rsid w:val="00BF1173"/>
    <w:rsid w:val="00C05627"/>
    <w:rsid w:val="00C05736"/>
    <w:rsid w:val="00C16EF1"/>
    <w:rsid w:val="00C448D3"/>
    <w:rsid w:val="00C55593"/>
    <w:rsid w:val="00C6686D"/>
    <w:rsid w:val="00C75035"/>
    <w:rsid w:val="00C77209"/>
    <w:rsid w:val="00C871A9"/>
    <w:rsid w:val="00C95E45"/>
    <w:rsid w:val="00C97F04"/>
    <w:rsid w:val="00CC3FC3"/>
    <w:rsid w:val="00CF62E5"/>
    <w:rsid w:val="00D46BBB"/>
    <w:rsid w:val="00D66D3A"/>
    <w:rsid w:val="00D733FB"/>
    <w:rsid w:val="00D743D4"/>
    <w:rsid w:val="00D933D7"/>
    <w:rsid w:val="00DB3D6C"/>
    <w:rsid w:val="00DE362D"/>
    <w:rsid w:val="00DF4653"/>
    <w:rsid w:val="00E000D7"/>
    <w:rsid w:val="00E014B6"/>
    <w:rsid w:val="00E10340"/>
    <w:rsid w:val="00E1162F"/>
    <w:rsid w:val="00E11D5F"/>
    <w:rsid w:val="00E20E1F"/>
    <w:rsid w:val="00E36F27"/>
    <w:rsid w:val="00E42F96"/>
    <w:rsid w:val="00E63D71"/>
    <w:rsid w:val="00E7118F"/>
    <w:rsid w:val="00E86F31"/>
    <w:rsid w:val="00EA7BF7"/>
    <w:rsid w:val="00EF51D1"/>
    <w:rsid w:val="00F27657"/>
    <w:rsid w:val="00F342DC"/>
    <w:rsid w:val="00F41880"/>
    <w:rsid w:val="00F471C8"/>
    <w:rsid w:val="00F51B3C"/>
    <w:rsid w:val="00F56F93"/>
    <w:rsid w:val="00F57DDC"/>
    <w:rsid w:val="00F63041"/>
    <w:rsid w:val="00F709CA"/>
    <w:rsid w:val="00F73CC2"/>
    <w:rsid w:val="00F76452"/>
    <w:rsid w:val="00F80CE1"/>
    <w:rsid w:val="00F92616"/>
    <w:rsid w:val="00FA443F"/>
    <w:rsid w:val="00FB731D"/>
    <w:rsid w:val="00FD6B46"/>
    <w:rsid w:val="00FE7591"/>
    <w:rsid w:val="00FF7E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50FF4"/>
  <w15:docId w15:val="{94531D11-A4EB-4EB4-8B27-EE3DF8EB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517555"/>
    <w:pPr>
      <w:spacing w:after="200" w:line="276" w:lineRule="auto"/>
      <w:ind w:left="720"/>
      <w:contextualSpacing/>
    </w:pPr>
    <w:rPr>
      <w:szCs w:val="22"/>
    </w:rPr>
  </w:style>
  <w:style w:type="paragraph" w:customStyle="1" w:styleId="Default">
    <w:name w:val="Default"/>
    <w:rsid w:val="00517555"/>
    <w:pPr>
      <w:autoSpaceDE w:val="0"/>
      <w:autoSpaceDN w:val="0"/>
      <w:adjustRightInd w:val="0"/>
    </w:pPr>
    <w:rPr>
      <w:rFonts w:cs="Arial"/>
      <w:color w:val="000000"/>
    </w:rPr>
  </w:style>
  <w:style w:type="table" w:styleId="Tabellenraster">
    <w:name w:val="Table Grid"/>
    <w:basedOn w:val="NormaleTabelle"/>
    <w:rsid w:val="0094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67301\AppData\Local\Temp\notes65C8FE\Stellenschaffung%20Begr&#252;nd.%2022%202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Stellenschaffung Begründ. 22 23.dotx</Template>
  <TotalTime>0</TotalTime>
  <Pages>3</Pages>
  <Words>619</Words>
  <Characters>4485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Bärsch, Matthias</dc:creator>
  <cp:lastModifiedBy>Baumann, Gerhard</cp:lastModifiedBy>
  <cp:revision>19</cp:revision>
  <cp:lastPrinted>2021-09-30T08:39:00Z</cp:lastPrinted>
  <dcterms:created xsi:type="dcterms:W3CDTF">2021-01-19T07:04:00Z</dcterms:created>
  <dcterms:modified xsi:type="dcterms:W3CDTF">2021-09-30T08:39:00Z</dcterms:modified>
</cp:coreProperties>
</file>