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894290" w:rsidRDefault="003D7B0B" w:rsidP="00397717">
      <w:pPr>
        <w:jc w:val="right"/>
      </w:pPr>
      <w:r w:rsidRPr="00894290">
        <w:t xml:space="preserve">Anlage </w:t>
      </w:r>
      <w:r w:rsidR="00C535A3">
        <w:t>4</w:t>
      </w:r>
      <w:r w:rsidRPr="00894290">
        <w:t xml:space="preserve"> zur GRDrs </w:t>
      </w:r>
      <w:r w:rsidR="00C535A3">
        <w:t>706</w:t>
      </w:r>
      <w:r w:rsidR="005F5B3D" w:rsidRPr="00894290">
        <w:t>/20</w:t>
      </w:r>
      <w:r w:rsidR="00AE7B02" w:rsidRPr="00894290">
        <w:t>21</w:t>
      </w:r>
    </w:p>
    <w:p w:rsidR="003D7B0B" w:rsidRPr="00894290" w:rsidRDefault="003D7B0B" w:rsidP="006E0575"/>
    <w:p w:rsidR="003D7B0B" w:rsidRPr="00894290" w:rsidRDefault="003D7B0B" w:rsidP="006E0575"/>
    <w:p w:rsidR="00184EDC" w:rsidRPr="00894290" w:rsidRDefault="003D7B0B" w:rsidP="00397717">
      <w:pPr>
        <w:jc w:val="center"/>
        <w:rPr>
          <w:b/>
          <w:sz w:val="36"/>
        </w:rPr>
      </w:pPr>
      <w:r w:rsidRPr="00894290">
        <w:rPr>
          <w:b/>
          <w:sz w:val="36"/>
          <w:u w:val="single"/>
        </w:rPr>
        <w:t>Stellenschaffun</w:t>
      </w:r>
      <w:r w:rsidRPr="00894290">
        <w:rPr>
          <w:b/>
          <w:sz w:val="36"/>
        </w:rPr>
        <w:t>g</w:t>
      </w:r>
    </w:p>
    <w:p w:rsidR="003D7B0B" w:rsidRPr="00894290" w:rsidRDefault="00184EDC" w:rsidP="00397717">
      <w:pPr>
        <w:jc w:val="center"/>
        <w:rPr>
          <w:b/>
          <w:sz w:val="36"/>
          <w:szCs w:val="36"/>
          <w:u w:val="single"/>
        </w:rPr>
      </w:pPr>
      <w:r w:rsidRPr="00894290">
        <w:rPr>
          <w:b/>
          <w:sz w:val="36"/>
          <w:szCs w:val="36"/>
          <w:u w:val="single"/>
        </w:rPr>
        <w:t>zum Stellenplan 20</w:t>
      </w:r>
      <w:r w:rsidR="00DE362D" w:rsidRPr="00894290">
        <w:rPr>
          <w:b/>
          <w:sz w:val="36"/>
          <w:szCs w:val="36"/>
          <w:u w:val="single"/>
        </w:rPr>
        <w:t>2</w:t>
      </w:r>
      <w:r w:rsidR="00732631" w:rsidRPr="00894290">
        <w:rPr>
          <w:b/>
          <w:sz w:val="36"/>
          <w:szCs w:val="36"/>
          <w:u w:val="single"/>
        </w:rPr>
        <w:t>2</w:t>
      </w:r>
    </w:p>
    <w:p w:rsidR="003D7B0B" w:rsidRPr="00894290" w:rsidRDefault="003D7B0B" w:rsidP="006E0575">
      <w:pPr>
        <w:rPr>
          <w:u w:val="single"/>
        </w:rPr>
      </w:pPr>
    </w:p>
    <w:p w:rsidR="00DE362D" w:rsidRPr="00894290"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894290" w:rsidRPr="00894290" w:rsidTr="00DE362D">
        <w:trPr>
          <w:cantSplit/>
          <w:tblHeader/>
        </w:trPr>
        <w:tc>
          <w:tcPr>
            <w:tcW w:w="1814" w:type="dxa"/>
            <w:shd w:val="pct12" w:color="auto" w:fill="FFFFFF"/>
          </w:tcPr>
          <w:p w:rsidR="00DE362D" w:rsidRPr="00894290" w:rsidRDefault="005F5B3D" w:rsidP="0030686C">
            <w:pPr>
              <w:spacing w:before="120" w:after="120" w:line="200" w:lineRule="exact"/>
              <w:ind w:right="-85"/>
              <w:rPr>
                <w:sz w:val="16"/>
                <w:szCs w:val="16"/>
              </w:rPr>
            </w:pPr>
            <w:r w:rsidRPr="00894290">
              <w:rPr>
                <w:sz w:val="16"/>
                <w:szCs w:val="16"/>
              </w:rPr>
              <w:t>Org.-Einheit</w:t>
            </w:r>
            <w:r w:rsidR="00380937" w:rsidRPr="00894290">
              <w:rPr>
                <w:sz w:val="16"/>
                <w:szCs w:val="16"/>
              </w:rPr>
              <w:t>,</w:t>
            </w:r>
          </w:p>
          <w:p w:rsidR="005F5B3D" w:rsidRPr="00894290" w:rsidRDefault="005F5B3D" w:rsidP="0030686C">
            <w:pPr>
              <w:spacing w:before="120" w:after="120" w:line="200" w:lineRule="exact"/>
              <w:ind w:right="-85"/>
              <w:rPr>
                <w:sz w:val="16"/>
                <w:szCs w:val="16"/>
              </w:rPr>
            </w:pPr>
            <w:r w:rsidRPr="00894290">
              <w:rPr>
                <w:sz w:val="16"/>
                <w:szCs w:val="16"/>
              </w:rPr>
              <w:t>Kostenstelle</w:t>
            </w:r>
          </w:p>
        </w:tc>
        <w:tc>
          <w:tcPr>
            <w:tcW w:w="1701" w:type="dxa"/>
            <w:shd w:val="pct12" w:color="auto" w:fill="FFFFFF"/>
          </w:tcPr>
          <w:p w:rsidR="005F5B3D" w:rsidRPr="00894290" w:rsidRDefault="005F5B3D" w:rsidP="0030686C">
            <w:pPr>
              <w:spacing w:before="120" w:after="120" w:line="200" w:lineRule="exact"/>
              <w:ind w:right="-85"/>
              <w:rPr>
                <w:sz w:val="16"/>
                <w:szCs w:val="16"/>
              </w:rPr>
            </w:pPr>
            <w:r w:rsidRPr="00894290">
              <w:rPr>
                <w:sz w:val="16"/>
                <w:szCs w:val="16"/>
              </w:rPr>
              <w:t>Amt</w:t>
            </w:r>
          </w:p>
        </w:tc>
        <w:tc>
          <w:tcPr>
            <w:tcW w:w="794" w:type="dxa"/>
            <w:shd w:val="pct12" w:color="auto" w:fill="FFFFFF"/>
          </w:tcPr>
          <w:p w:rsidR="00DE362D" w:rsidRPr="00894290" w:rsidRDefault="00606F80" w:rsidP="0030686C">
            <w:pPr>
              <w:spacing w:before="120" w:after="120" w:line="200" w:lineRule="exact"/>
              <w:ind w:right="-85"/>
              <w:rPr>
                <w:sz w:val="16"/>
                <w:szCs w:val="16"/>
              </w:rPr>
            </w:pPr>
            <w:r w:rsidRPr="00894290">
              <w:rPr>
                <w:sz w:val="16"/>
                <w:szCs w:val="16"/>
              </w:rPr>
              <w:t>BesGr.</w:t>
            </w:r>
          </w:p>
          <w:p w:rsidR="00DE362D" w:rsidRPr="00894290" w:rsidRDefault="00606F80" w:rsidP="0030686C">
            <w:pPr>
              <w:spacing w:before="120" w:after="120" w:line="200" w:lineRule="exact"/>
              <w:ind w:right="-85"/>
              <w:rPr>
                <w:sz w:val="16"/>
                <w:szCs w:val="16"/>
              </w:rPr>
            </w:pPr>
            <w:r w:rsidRPr="00894290">
              <w:rPr>
                <w:sz w:val="16"/>
                <w:szCs w:val="16"/>
              </w:rPr>
              <w:t>oder</w:t>
            </w:r>
          </w:p>
          <w:p w:rsidR="00606F80" w:rsidRPr="00894290" w:rsidRDefault="00606F80" w:rsidP="0030686C">
            <w:pPr>
              <w:spacing w:before="120" w:after="120" w:line="200" w:lineRule="exact"/>
              <w:ind w:right="-85"/>
              <w:rPr>
                <w:sz w:val="16"/>
                <w:szCs w:val="16"/>
              </w:rPr>
            </w:pPr>
            <w:r w:rsidRPr="00894290">
              <w:rPr>
                <w:sz w:val="16"/>
                <w:szCs w:val="16"/>
              </w:rPr>
              <w:t>EG</w:t>
            </w:r>
          </w:p>
        </w:tc>
        <w:tc>
          <w:tcPr>
            <w:tcW w:w="1928" w:type="dxa"/>
            <w:shd w:val="pct12" w:color="auto" w:fill="FFFFFF"/>
          </w:tcPr>
          <w:p w:rsidR="005F5B3D" w:rsidRPr="00894290" w:rsidRDefault="005F5B3D" w:rsidP="0030686C">
            <w:pPr>
              <w:spacing w:before="120" w:after="120" w:line="200" w:lineRule="exact"/>
              <w:ind w:right="-85"/>
              <w:rPr>
                <w:sz w:val="16"/>
                <w:szCs w:val="16"/>
              </w:rPr>
            </w:pPr>
            <w:r w:rsidRPr="00894290">
              <w:rPr>
                <w:sz w:val="16"/>
                <w:szCs w:val="16"/>
              </w:rPr>
              <w:t>Funktions</w:t>
            </w:r>
            <w:r w:rsidR="00622CC7" w:rsidRPr="00894290">
              <w:rPr>
                <w:sz w:val="16"/>
                <w:szCs w:val="16"/>
              </w:rPr>
              <w:t>-</w:t>
            </w:r>
            <w:r w:rsidR="00622CC7" w:rsidRPr="00894290">
              <w:rPr>
                <w:sz w:val="16"/>
                <w:szCs w:val="16"/>
              </w:rPr>
              <w:br/>
            </w:r>
            <w:r w:rsidRPr="00894290">
              <w:rPr>
                <w:sz w:val="16"/>
                <w:szCs w:val="16"/>
              </w:rPr>
              <w:t>bezeichnung</w:t>
            </w:r>
          </w:p>
        </w:tc>
        <w:tc>
          <w:tcPr>
            <w:tcW w:w="737" w:type="dxa"/>
            <w:shd w:val="pct12" w:color="auto" w:fill="FFFFFF"/>
          </w:tcPr>
          <w:p w:rsidR="005F5B3D" w:rsidRPr="00894290" w:rsidRDefault="005F5B3D" w:rsidP="0030686C">
            <w:pPr>
              <w:spacing w:before="120" w:after="120" w:line="200" w:lineRule="exact"/>
              <w:ind w:right="-85"/>
              <w:rPr>
                <w:sz w:val="16"/>
                <w:szCs w:val="16"/>
              </w:rPr>
            </w:pPr>
            <w:r w:rsidRPr="00894290">
              <w:rPr>
                <w:sz w:val="16"/>
                <w:szCs w:val="16"/>
              </w:rPr>
              <w:t>Anzahl</w:t>
            </w:r>
            <w:r w:rsidRPr="00894290">
              <w:rPr>
                <w:sz w:val="16"/>
                <w:szCs w:val="16"/>
              </w:rPr>
              <w:br/>
              <w:t>der</w:t>
            </w:r>
            <w:r w:rsidRPr="00894290">
              <w:rPr>
                <w:sz w:val="16"/>
                <w:szCs w:val="16"/>
              </w:rPr>
              <w:br/>
              <w:t>Stellen</w:t>
            </w:r>
          </w:p>
        </w:tc>
        <w:tc>
          <w:tcPr>
            <w:tcW w:w="1134" w:type="dxa"/>
            <w:shd w:val="pct12" w:color="auto" w:fill="FFFFFF"/>
          </w:tcPr>
          <w:p w:rsidR="005F5B3D" w:rsidRPr="00894290" w:rsidRDefault="005F5B3D" w:rsidP="0030686C">
            <w:pPr>
              <w:spacing w:before="120" w:after="120" w:line="200" w:lineRule="exact"/>
              <w:ind w:right="-85"/>
              <w:rPr>
                <w:sz w:val="16"/>
                <w:szCs w:val="16"/>
              </w:rPr>
            </w:pPr>
            <w:r w:rsidRPr="00894290">
              <w:rPr>
                <w:sz w:val="16"/>
                <w:szCs w:val="16"/>
              </w:rPr>
              <w:t>Stellen-</w:t>
            </w:r>
            <w:r w:rsidRPr="00894290">
              <w:rPr>
                <w:sz w:val="16"/>
                <w:szCs w:val="16"/>
              </w:rPr>
              <w:br/>
              <w:t>vermerk</w:t>
            </w:r>
          </w:p>
        </w:tc>
        <w:tc>
          <w:tcPr>
            <w:tcW w:w="1417" w:type="dxa"/>
            <w:shd w:val="pct12" w:color="auto" w:fill="FFFFFF"/>
          </w:tcPr>
          <w:p w:rsidR="005F5B3D" w:rsidRPr="00894290" w:rsidRDefault="005F5B3D" w:rsidP="0030686C">
            <w:pPr>
              <w:spacing w:before="120" w:after="120" w:line="200" w:lineRule="exact"/>
              <w:ind w:right="-85"/>
              <w:rPr>
                <w:sz w:val="16"/>
                <w:szCs w:val="16"/>
              </w:rPr>
            </w:pPr>
            <w:r w:rsidRPr="00894290">
              <w:rPr>
                <w:sz w:val="16"/>
                <w:szCs w:val="16"/>
              </w:rPr>
              <w:t>durchschnittl.</w:t>
            </w:r>
            <w:r w:rsidRPr="00894290">
              <w:rPr>
                <w:sz w:val="16"/>
                <w:szCs w:val="16"/>
              </w:rPr>
              <w:br/>
              <w:t>jährl. kosten-</w:t>
            </w:r>
            <w:r w:rsidRPr="00894290">
              <w:rPr>
                <w:sz w:val="16"/>
                <w:szCs w:val="16"/>
              </w:rPr>
              <w:br/>
              <w:t>wirksamer</w:t>
            </w:r>
            <w:r w:rsidR="00DE362D" w:rsidRPr="00894290">
              <w:rPr>
                <w:sz w:val="16"/>
                <w:szCs w:val="16"/>
              </w:rPr>
              <w:t xml:space="preserve"> </w:t>
            </w:r>
            <w:r w:rsidRPr="00894290">
              <w:rPr>
                <w:sz w:val="16"/>
                <w:szCs w:val="16"/>
              </w:rPr>
              <w:br/>
              <w:t>Aufwand</w:t>
            </w:r>
            <w:r w:rsidR="0030686C" w:rsidRPr="00894290">
              <w:rPr>
                <w:sz w:val="16"/>
                <w:szCs w:val="16"/>
              </w:rPr>
              <w:t xml:space="preserve"> </w:t>
            </w:r>
            <w:r w:rsidRPr="00894290">
              <w:rPr>
                <w:sz w:val="16"/>
                <w:szCs w:val="16"/>
              </w:rPr>
              <w:br/>
            </w:r>
            <w:r w:rsidR="003F0FAA" w:rsidRPr="00894290">
              <w:rPr>
                <w:sz w:val="16"/>
                <w:szCs w:val="16"/>
              </w:rPr>
              <w:t xml:space="preserve">in </w:t>
            </w:r>
            <w:r w:rsidRPr="00894290">
              <w:rPr>
                <w:sz w:val="16"/>
                <w:szCs w:val="16"/>
              </w:rPr>
              <w:t>Euro</w:t>
            </w:r>
          </w:p>
        </w:tc>
      </w:tr>
      <w:tr w:rsidR="00894290" w:rsidRPr="00894290" w:rsidTr="00DE362D">
        <w:tc>
          <w:tcPr>
            <w:tcW w:w="1814" w:type="dxa"/>
          </w:tcPr>
          <w:p w:rsidR="005F5B3D" w:rsidRPr="00894290" w:rsidRDefault="005F5B3D" w:rsidP="0030686C">
            <w:pPr>
              <w:rPr>
                <w:sz w:val="20"/>
              </w:rPr>
            </w:pPr>
          </w:p>
          <w:p w:rsidR="005F5B3D" w:rsidRPr="00894290" w:rsidRDefault="00AB16C3" w:rsidP="0030686C">
            <w:pPr>
              <w:rPr>
                <w:sz w:val="20"/>
              </w:rPr>
            </w:pPr>
            <w:r w:rsidRPr="00894290">
              <w:rPr>
                <w:sz w:val="20"/>
              </w:rPr>
              <w:t>36-3.5</w:t>
            </w:r>
          </w:p>
          <w:p w:rsidR="0011112B" w:rsidRPr="00894290" w:rsidRDefault="0011112B" w:rsidP="0030686C">
            <w:pPr>
              <w:rPr>
                <w:sz w:val="20"/>
              </w:rPr>
            </w:pPr>
          </w:p>
          <w:p w:rsidR="0011112B" w:rsidRPr="00894290" w:rsidRDefault="00AB16C3" w:rsidP="0030686C">
            <w:pPr>
              <w:rPr>
                <w:sz w:val="20"/>
              </w:rPr>
            </w:pPr>
            <w:r w:rsidRPr="00894290">
              <w:rPr>
                <w:sz w:val="20"/>
              </w:rPr>
              <w:t>3630</w:t>
            </w:r>
            <w:r w:rsidR="00267882" w:rsidRPr="00894290">
              <w:rPr>
                <w:sz w:val="20"/>
              </w:rPr>
              <w:t xml:space="preserve"> </w:t>
            </w:r>
            <w:r w:rsidRPr="00894290">
              <w:rPr>
                <w:sz w:val="20"/>
              </w:rPr>
              <w:t>5300</w:t>
            </w:r>
          </w:p>
          <w:p w:rsidR="005F5B3D" w:rsidRPr="00894290" w:rsidRDefault="005F5B3D" w:rsidP="0030686C">
            <w:pPr>
              <w:rPr>
                <w:sz w:val="20"/>
              </w:rPr>
            </w:pPr>
          </w:p>
        </w:tc>
        <w:tc>
          <w:tcPr>
            <w:tcW w:w="1701" w:type="dxa"/>
          </w:tcPr>
          <w:p w:rsidR="005F5B3D" w:rsidRPr="00894290" w:rsidRDefault="005F5B3D" w:rsidP="0030686C">
            <w:pPr>
              <w:rPr>
                <w:sz w:val="20"/>
              </w:rPr>
            </w:pPr>
          </w:p>
          <w:p w:rsidR="005F5B3D" w:rsidRPr="00894290" w:rsidRDefault="00267882" w:rsidP="00267882">
            <w:pPr>
              <w:rPr>
                <w:sz w:val="20"/>
              </w:rPr>
            </w:pPr>
            <w:r w:rsidRPr="00894290">
              <w:rPr>
                <w:sz w:val="20"/>
              </w:rPr>
              <w:t>Amt für Umweltschutz</w:t>
            </w:r>
          </w:p>
        </w:tc>
        <w:tc>
          <w:tcPr>
            <w:tcW w:w="794" w:type="dxa"/>
          </w:tcPr>
          <w:p w:rsidR="005F5B3D" w:rsidRPr="00894290" w:rsidRDefault="005F5B3D" w:rsidP="0030686C">
            <w:pPr>
              <w:rPr>
                <w:sz w:val="20"/>
              </w:rPr>
            </w:pPr>
          </w:p>
          <w:p w:rsidR="005F5B3D" w:rsidRPr="00894290" w:rsidRDefault="00AB16C3" w:rsidP="0030686C">
            <w:pPr>
              <w:rPr>
                <w:sz w:val="20"/>
              </w:rPr>
            </w:pPr>
            <w:r w:rsidRPr="00894290">
              <w:rPr>
                <w:sz w:val="20"/>
              </w:rPr>
              <w:t>EG 12</w:t>
            </w:r>
          </w:p>
        </w:tc>
        <w:tc>
          <w:tcPr>
            <w:tcW w:w="1928" w:type="dxa"/>
          </w:tcPr>
          <w:p w:rsidR="005F5B3D" w:rsidRPr="00894290" w:rsidRDefault="005F5B3D" w:rsidP="0030686C">
            <w:pPr>
              <w:rPr>
                <w:sz w:val="20"/>
              </w:rPr>
            </w:pPr>
          </w:p>
          <w:p w:rsidR="005F5B3D" w:rsidRPr="00894290" w:rsidRDefault="00AB16C3" w:rsidP="0030686C">
            <w:pPr>
              <w:rPr>
                <w:sz w:val="20"/>
              </w:rPr>
            </w:pPr>
            <w:r w:rsidRPr="00894290">
              <w:rPr>
                <w:sz w:val="20"/>
              </w:rPr>
              <w:t>Sachbearbeiter/-in Trinkwassernotkonzept</w:t>
            </w:r>
          </w:p>
        </w:tc>
        <w:tc>
          <w:tcPr>
            <w:tcW w:w="737" w:type="dxa"/>
            <w:shd w:val="pct12" w:color="auto" w:fill="FFFFFF"/>
          </w:tcPr>
          <w:p w:rsidR="005F5B3D" w:rsidRPr="00894290" w:rsidRDefault="005F5B3D" w:rsidP="0030686C">
            <w:pPr>
              <w:rPr>
                <w:sz w:val="20"/>
              </w:rPr>
            </w:pPr>
          </w:p>
          <w:p w:rsidR="005F5B3D" w:rsidRPr="00894290" w:rsidRDefault="00AB16C3" w:rsidP="00D8799E">
            <w:pPr>
              <w:rPr>
                <w:sz w:val="20"/>
              </w:rPr>
            </w:pPr>
            <w:r w:rsidRPr="00894290">
              <w:rPr>
                <w:sz w:val="20"/>
              </w:rPr>
              <w:t>0,5</w:t>
            </w:r>
            <w:r w:rsidR="00D8799E" w:rsidRPr="00894290">
              <w:rPr>
                <w:sz w:val="20"/>
              </w:rPr>
              <w:t>0</w:t>
            </w:r>
          </w:p>
        </w:tc>
        <w:tc>
          <w:tcPr>
            <w:tcW w:w="1134" w:type="dxa"/>
          </w:tcPr>
          <w:p w:rsidR="005F5B3D" w:rsidRPr="00894290" w:rsidRDefault="005F5B3D" w:rsidP="0030686C">
            <w:pPr>
              <w:rPr>
                <w:sz w:val="20"/>
              </w:rPr>
            </w:pPr>
          </w:p>
          <w:p w:rsidR="005F5B3D" w:rsidRPr="00894290" w:rsidRDefault="00267882" w:rsidP="0030686C">
            <w:pPr>
              <w:rPr>
                <w:sz w:val="20"/>
              </w:rPr>
            </w:pPr>
            <w:r w:rsidRPr="00894290">
              <w:rPr>
                <w:sz w:val="20"/>
              </w:rPr>
              <w:t>KW 01/2024</w:t>
            </w:r>
          </w:p>
        </w:tc>
        <w:tc>
          <w:tcPr>
            <w:tcW w:w="1417" w:type="dxa"/>
          </w:tcPr>
          <w:p w:rsidR="005F5B3D" w:rsidRPr="00894290" w:rsidRDefault="005F5B3D" w:rsidP="0030686C">
            <w:pPr>
              <w:rPr>
                <w:sz w:val="20"/>
              </w:rPr>
            </w:pPr>
          </w:p>
          <w:p w:rsidR="005F5B3D" w:rsidRPr="00894290" w:rsidRDefault="00C535A3" w:rsidP="0030686C">
            <w:pPr>
              <w:rPr>
                <w:sz w:val="20"/>
              </w:rPr>
            </w:pPr>
            <w:r>
              <w:rPr>
                <w:sz w:val="20"/>
              </w:rPr>
              <w:t>43.500</w:t>
            </w:r>
            <w:bookmarkStart w:id="0" w:name="_GoBack"/>
            <w:bookmarkEnd w:id="0"/>
          </w:p>
        </w:tc>
      </w:tr>
    </w:tbl>
    <w:p w:rsidR="003D7B0B" w:rsidRPr="00894290" w:rsidRDefault="006E0575" w:rsidP="00884D6C">
      <w:pPr>
        <w:pStyle w:val="berschrift1"/>
      </w:pPr>
      <w:r w:rsidRPr="00894290">
        <w:t>1</w:t>
      </w:r>
      <w:r w:rsidR="00884D6C" w:rsidRPr="00894290">
        <w:tab/>
      </w:r>
      <w:r w:rsidR="003D7B0B" w:rsidRPr="00894290">
        <w:t>Antra</w:t>
      </w:r>
      <w:r w:rsidR="003D7B0B" w:rsidRPr="00894290">
        <w:rPr>
          <w:u w:val="none"/>
        </w:rPr>
        <w:t>g</w:t>
      </w:r>
      <w:r w:rsidR="003D7B0B" w:rsidRPr="00894290">
        <w:t>, Stellenausstattun</w:t>
      </w:r>
      <w:r w:rsidR="003D7B0B" w:rsidRPr="00894290">
        <w:rPr>
          <w:u w:val="none"/>
        </w:rPr>
        <w:t>g</w:t>
      </w:r>
    </w:p>
    <w:p w:rsidR="003D7B0B" w:rsidRPr="00894290" w:rsidRDefault="003D7B0B" w:rsidP="00884D6C"/>
    <w:p w:rsidR="003D7B0B" w:rsidRPr="00894290" w:rsidRDefault="00D8799E" w:rsidP="00884D6C">
      <w:pPr>
        <w:rPr>
          <w:rFonts w:cs="Arial"/>
        </w:rPr>
      </w:pPr>
      <w:r w:rsidRPr="00894290">
        <w:rPr>
          <w:rFonts w:cs="Arial"/>
        </w:rPr>
        <w:t>Geschaffen wird eine</w:t>
      </w:r>
      <w:r w:rsidR="00760FEB" w:rsidRPr="00894290">
        <w:rPr>
          <w:rFonts w:cs="Arial"/>
        </w:rPr>
        <w:t xml:space="preserve"> 0,5</w:t>
      </w:r>
      <w:r w:rsidRPr="00894290">
        <w:rPr>
          <w:rFonts w:cs="Arial"/>
        </w:rPr>
        <w:t>0-</w:t>
      </w:r>
      <w:r w:rsidR="00760FEB" w:rsidRPr="00894290">
        <w:rPr>
          <w:rFonts w:cs="Arial"/>
        </w:rPr>
        <w:t xml:space="preserve">Stelle zur Aktualisierung des Konzepts sowie der Fortführung der erforderlichen weiteren Maßnahmen für die Sicherstellung der Trinkwassernotversorgung der Stadt Stuttgart. </w:t>
      </w:r>
    </w:p>
    <w:p w:rsidR="003D7B0B" w:rsidRPr="00894290" w:rsidRDefault="003D7B0B" w:rsidP="00884D6C">
      <w:pPr>
        <w:pStyle w:val="berschrift1"/>
      </w:pPr>
      <w:r w:rsidRPr="00894290">
        <w:t>2</w:t>
      </w:r>
      <w:r w:rsidRPr="00894290">
        <w:tab/>
        <w:t>Schaffun</w:t>
      </w:r>
      <w:r w:rsidRPr="00894290">
        <w:rPr>
          <w:u w:val="none"/>
        </w:rPr>
        <w:t>g</w:t>
      </w:r>
      <w:r w:rsidRPr="00894290">
        <w:t>skriterien</w:t>
      </w:r>
    </w:p>
    <w:p w:rsidR="003D7B0B" w:rsidRPr="00894290" w:rsidRDefault="003D7B0B" w:rsidP="00884D6C"/>
    <w:p w:rsidR="0003761B" w:rsidRPr="00894290" w:rsidRDefault="00D8799E" w:rsidP="00884D6C">
      <w:pPr>
        <w:rPr>
          <w:rFonts w:cs="Arial"/>
        </w:rPr>
      </w:pPr>
      <w:r w:rsidRPr="00894290">
        <w:rPr>
          <w:rFonts w:cs="Arial"/>
        </w:rPr>
        <w:t>Der Antrag erfüllt das Schaffungskriterium „erhebliche Arbeitsvermehrung, die nicht durch andere Maßnahmen abgefangen werden kann“.</w:t>
      </w:r>
    </w:p>
    <w:p w:rsidR="003D7B0B" w:rsidRPr="00894290" w:rsidRDefault="003D7B0B" w:rsidP="00884D6C">
      <w:pPr>
        <w:pStyle w:val="berschrift1"/>
      </w:pPr>
      <w:r w:rsidRPr="00894290">
        <w:t>3</w:t>
      </w:r>
      <w:r w:rsidRPr="00894290">
        <w:tab/>
        <w:t>Bedarf</w:t>
      </w:r>
    </w:p>
    <w:p w:rsidR="003D7B0B" w:rsidRPr="00894290" w:rsidRDefault="00884D6C" w:rsidP="00884D6C">
      <w:pPr>
        <w:pStyle w:val="berschrift2"/>
      </w:pPr>
      <w:r w:rsidRPr="00894290">
        <w:t>3.1</w:t>
      </w:r>
      <w:r w:rsidRPr="00894290">
        <w:tab/>
      </w:r>
      <w:r w:rsidR="006E0575" w:rsidRPr="00894290">
        <w:t>Anlass</w:t>
      </w:r>
    </w:p>
    <w:p w:rsidR="003D7B0B" w:rsidRPr="00894290" w:rsidRDefault="003D7B0B" w:rsidP="00884D6C"/>
    <w:p w:rsidR="007E542B" w:rsidRPr="00894290" w:rsidRDefault="007E542B" w:rsidP="00D8799E">
      <w:pPr>
        <w:rPr>
          <w:rFonts w:cs="Arial"/>
        </w:rPr>
      </w:pPr>
      <w:r w:rsidRPr="00894290">
        <w:rPr>
          <w:rFonts w:cs="Arial"/>
        </w:rPr>
        <w:t>Das Wassersicherstellungsgesetz regelt, dass die Verantwortung für die Maßnahmen zur Deckung des lebensnotwendigen Bedarfs an Trinkwasser zum Schutz der Zivilbevölkerung und der Streitkräfte bei den Landkreisen und den kreisfreien Städten liegt.</w:t>
      </w:r>
      <w:r w:rsidRPr="00894290">
        <w:rPr>
          <w:sz w:val="22"/>
          <w:szCs w:val="22"/>
        </w:rPr>
        <w:t xml:space="preserve"> </w:t>
      </w:r>
      <w:r w:rsidRPr="00894290">
        <w:rPr>
          <w:rFonts w:cs="Arial"/>
        </w:rPr>
        <w:t xml:space="preserve">Die Trinkwassernotversorgung soll sicherstellen, dass die Bevölkerung beim Ausfall der öffentlichen Wasserversorgung mit Trinkwasser versorgt werden kann. </w:t>
      </w:r>
    </w:p>
    <w:p w:rsidR="007E542B" w:rsidRPr="00894290" w:rsidRDefault="007E542B" w:rsidP="00D8799E">
      <w:pPr>
        <w:rPr>
          <w:rFonts w:cs="Arial"/>
        </w:rPr>
      </w:pPr>
    </w:p>
    <w:p w:rsidR="00D8799E" w:rsidRPr="00894290" w:rsidRDefault="00D8799E" w:rsidP="00D8799E">
      <w:pPr>
        <w:rPr>
          <w:rFonts w:cs="Arial"/>
        </w:rPr>
      </w:pPr>
      <w:r w:rsidRPr="00894290">
        <w:rPr>
          <w:rFonts w:cs="Arial"/>
        </w:rPr>
        <w:t xml:space="preserve">Bislang hatte der Wasserversorger </w:t>
      </w:r>
      <w:r w:rsidR="007E542B" w:rsidRPr="00894290">
        <w:rPr>
          <w:rFonts w:cs="Arial"/>
        </w:rPr>
        <w:t xml:space="preserve">(EnBW/Netze BW) </w:t>
      </w:r>
      <w:r w:rsidRPr="00894290">
        <w:rPr>
          <w:rFonts w:cs="Arial"/>
        </w:rPr>
        <w:t>federführend die Aktualisierung der Konzeption bearbeitet</w:t>
      </w:r>
      <w:r w:rsidR="007E542B" w:rsidRPr="00894290">
        <w:rPr>
          <w:rFonts w:cs="Arial"/>
        </w:rPr>
        <w:t xml:space="preserve">. Da sich dieser </w:t>
      </w:r>
      <w:r w:rsidRPr="00894290">
        <w:rPr>
          <w:rFonts w:cs="Arial"/>
        </w:rPr>
        <w:t>von dieser Aufgabe zurückgezogen hat,</w:t>
      </w:r>
      <w:r w:rsidR="007E542B" w:rsidRPr="00894290">
        <w:rPr>
          <w:rFonts w:cs="Arial"/>
        </w:rPr>
        <w:t xml:space="preserve"> wurde </w:t>
      </w:r>
      <w:r w:rsidRPr="00894290">
        <w:rPr>
          <w:rFonts w:cs="Arial"/>
        </w:rPr>
        <w:t xml:space="preserve">die Erstellung des Konzepts für die Trinkwassernotversorgung sowie die Umsetzung der erforderlichen Maßnahmen </w:t>
      </w:r>
      <w:r w:rsidR="007E542B" w:rsidRPr="00894290">
        <w:rPr>
          <w:rFonts w:cs="Arial"/>
        </w:rPr>
        <w:t xml:space="preserve">stadtintern </w:t>
      </w:r>
      <w:r w:rsidRPr="00894290">
        <w:rPr>
          <w:rFonts w:cs="Arial"/>
        </w:rPr>
        <w:t>dem Amt fü</w:t>
      </w:r>
      <w:r w:rsidR="007E542B" w:rsidRPr="00894290">
        <w:rPr>
          <w:rFonts w:cs="Arial"/>
        </w:rPr>
        <w:t>r Umweltschutz übertragen</w:t>
      </w:r>
      <w:r w:rsidRPr="00894290">
        <w:rPr>
          <w:rFonts w:cs="Arial"/>
        </w:rPr>
        <w:t>.</w:t>
      </w:r>
    </w:p>
    <w:p w:rsidR="007E542B" w:rsidRPr="00894290" w:rsidRDefault="007E542B" w:rsidP="00D8799E">
      <w:pPr>
        <w:rPr>
          <w:rFonts w:cs="Arial"/>
        </w:rPr>
      </w:pPr>
    </w:p>
    <w:p w:rsidR="00760FEB" w:rsidRPr="00894290" w:rsidRDefault="00760FEB" w:rsidP="007E542B">
      <w:pPr>
        <w:keepNext/>
        <w:rPr>
          <w:rFonts w:cs="Arial"/>
          <w:u w:val="single"/>
        </w:rPr>
      </w:pPr>
      <w:r w:rsidRPr="00894290">
        <w:rPr>
          <w:rFonts w:cs="Arial"/>
          <w:u w:val="single"/>
        </w:rPr>
        <w:lastRenderedPageBreak/>
        <w:t>1. Aktualisierung des Konzepts für die Trinkwassernotversorgung</w:t>
      </w:r>
    </w:p>
    <w:p w:rsidR="00760FEB" w:rsidRPr="00894290" w:rsidRDefault="00760FEB" w:rsidP="007E542B">
      <w:pPr>
        <w:keepNext/>
        <w:rPr>
          <w:rFonts w:cs="Arial"/>
          <w:i/>
        </w:rPr>
      </w:pPr>
    </w:p>
    <w:p w:rsidR="00760FEB" w:rsidRPr="00894290" w:rsidRDefault="00760FEB" w:rsidP="007E542B">
      <w:pPr>
        <w:keepLines/>
        <w:rPr>
          <w:rFonts w:cs="Arial"/>
        </w:rPr>
      </w:pPr>
      <w:r w:rsidRPr="00894290">
        <w:rPr>
          <w:rFonts w:cs="Arial"/>
        </w:rPr>
        <w:t>Die Erhebung der Basisdaten beinhaltet die Erfassung der Einwohnerzahl, der täglichen Pendler sowie die Erfassung der sensiblen Einrichtungen (z. B. Krankenhäuser, Alters- und Pflegeheime, Reha-Kliniken, Schulen und Kindergärten, Behindertenheime, Lebensmittelbetriebe, Viehhaltungen (Groß- und Kleintier), Landwirtschaft, Industrie und Gewerbe). Darüber hinaus sind die Betriebe (z. B. Bäcker</w:t>
      </w:r>
      <w:r w:rsidR="0003761B" w:rsidRPr="00894290">
        <w:rPr>
          <w:rFonts w:cs="Arial"/>
        </w:rPr>
        <w:t>,</w:t>
      </w:r>
      <w:r w:rsidR="007D63B7" w:rsidRPr="00894290">
        <w:rPr>
          <w:rFonts w:cs="Arial"/>
        </w:rPr>
        <w:t xml:space="preserve"> </w:t>
      </w:r>
      <w:r w:rsidR="0003761B" w:rsidRPr="00894290">
        <w:rPr>
          <w:rFonts w:cs="Arial"/>
        </w:rPr>
        <w:t>Lebensmittelgeschäfte</w:t>
      </w:r>
      <w:r w:rsidR="00CE3479" w:rsidRPr="00894290">
        <w:rPr>
          <w:rFonts w:cs="Arial"/>
        </w:rPr>
        <w:t>, Drogeriemärkte</w:t>
      </w:r>
      <w:r w:rsidRPr="00894290">
        <w:rPr>
          <w:rFonts w:cs="Arial"/>
        </w:rPr>
        <w:t xml:space="preserve">) zu erfassen, die in einem Notfall systemrelevant sind. Diese Betriebe sind bei der Einteilung der Notversorgungszonen zu berücksichtigen. </w:t>
      </w:r>
    </w:p>
    <w:p w:rsidR="00760FEB" w:rsidRPr="00894290" w:rsidRDefault="00760FEB" w:rsidP="00760FEB">
      <w:pPr>
        <w:rPr>
          <w:rFonts w:cs="Arial"/>
        </w:rPr>
      </w:pPr>
    </w:p>
    <w:p w:rsidR="00760FEB" w:rsidRPr="00894290" w:rsidRDefault="00760FEB" w:rsidP="00760FEB">
      <w:pPr>
        <w:rPr>
          <w:rFonts w:cs="Arial"/>
          <w:u w:val="single"/>
        </w:rPr>
      </w:pPr>
      <w:r w:rsidRPr="00894290">
        <w:rPr>
          <w:rFonts w:cs="Arial"/>
          <w:u w:val="single"/>
        </w:rPr>
        <w:t xml:space="preserve">2. Erforderliche weitere Maßnahmen </w:t>
      </w:r>
      <w:r w:rsidR="007E542B" w:rsidRPr="00894290">
        <w:rPr>
          <w:rFonts w:cs="Arial"/>
          <w:u w:val="single"/>
        </w:rPr>
        <w:t>zur</w:t>
      </w:r>
      <w:r w:rsidRPr="00894290">
        <w:rPr>
          <w:rFonts w:cs="Arial"/>
          <w:u w:val="single"/>
        </w:rPr>
        <w:t xml:space="preserve"> Sicherstellung der Trinkwassernotversorgung: </w:t>
      </w:r>
    </w:p>
    <w:p w:rsidR="00760FEB" w:rsidRPr="00894290" w:rsidRDefault="00760FEB" w:rsidP="00760FEB">
      <w:pPr>
        <w:rPr>
          <w:rFonts w:cs="Arial"/>
        </w:rPr>
      </w:pPr>
    </w:p>
    <w:p w:rsidR="00760FEB" w:rsidRPr="00894290" w:rsidRDefault="00760FEB" w:rsidP="00760FEB">
      <w:pPr>
        <w:rPr>
          <w:rFonts w:cs="Arial"/>
        </w:rPr>
      </w:pPr>
      <w:r w:rsidRPr="00894290">
        <w:rPr>
          <w:rFonts w:cs="Arial"/>
        </w:rPr>
        <w:t xml:space="preserve">Im Anschluss an die Aktualisierung fallen weitere Aufgaben an. Damit die Sicherstellung der Trinkwassernotversorgung auch zukünftig gewährleistet werden kann, sind die im Konzept aufgeführten Maßnahmen zeitnah umzusetzen. </w:t>
      </w:r>
      <w:r w:rsidR="003351DB" w:rsidRPr="00894290">
        <w:rPr>
          <w:rFonts w:cs="Arial"/>
        </w:rPr>
        <w:t>U</w:t>
      </w:r>
      <w:r w:rsidRPr="00894290">
        <w:rPr>
          <w:rFonts w:cs="Arial"/>
        </w:rPr>
        <w:t>.</w:t>
      </w:r>
      <w:r w:rsidR="003A383D" w:rsidRPr="00894290">
        <w:rPr>
          <w:rFonts w:cs="Arial"/>
        </w:rPr>
        <w:t xml:space="preserve"> </w:t>
      </w:r>
      <w:r w:rsidRPr="00894290">
        <w:rPr>
          <w:rFonts w:cs="Arial"/>
        </w:rPr>
        <w:t xml:space="preserve">a. </w:t>
      </w:r>
      <w:r w:rsidR="003351DB" w:rsidRPr="00894290">
        <w:rPr>
          <w:rFonts w:cs="Arial"/>
        </w:rPr>
        <w:t xml:space="preserve">sind </w:t>
      </w:r>
      <w:r w:rsidRPr="00894290">
        <w:rPr>
          <w:rFonts w:cs="Arial"/>
        </w:rPr>
        <w:t>folgende Aufgaben umzusetzen:</w:t>
      </w:r>
    </w:p>
    <w:p w:rsidR="00760FEB" w:rsidRPr="00894290" w:rsidRDefault="00760FEB" w:rsidP="00760FEB">
      <w:pPr>
        <w:tabs>
          <w:tab w:val="left" w:pos="1742"/>
        </w:tabs>
        <w:rPr>
          <w:rFonts w:cs="Arial"/>
          <w:u w:val="single"/>
        </w:rPr>
      </w:pPr>
    </w:p>
    <w:p w:rsidR="00760FEB" w:rsidRPr="00894290" w:rsidRDefault="00760FEB" w:rsidP="00760FEB">
      <w:pPr>
        <w:rPr>
          <w:rFonts w:cs="Arial"/>
          <w:u w:val="single"/>
        </w:rPr>
      </w:pPr>
      <w:r w:rsidRPr="00894290">
        <w:rPr>
          <w:rFonts w:cs="Arial"/>
          <w:u w:val="single"/>
        </w:rPr>
        <w:t>a) Notwasserbrunnen:</w:t>
      </w:r>
    </w:p>
    <w:p w:rsidR="00760FEB" w:rsidRPr="00894290" w:rsidRDefault="00760FEB" w:rsidP="00760FEB">
      <w:pPr>
        <w:rPr>
          <w:rFonts w:cs="Arial"/>
        </w:rPr>
      </w:pPr>
    </w:p>
    <w:p w:rsidR="00760FEB" w:rsidRPr="00894290" w:rsidRDefault="00760FEB" w:rsidP="00760FEB">
      <w:pPr>
        <w:rPr>
          <w:rFonts w:cs="Arial"/>
        </w:rPr>
      </w:pPr>
      <w:r w:rsidRPr="00894290">
        <w:rPr>
          <w:rFonts w:cs="Arial"/>
        </w:rPr>
        <w:t>Die im Jahre 2019 durchgeführten Funktionstests an den Notwasserbrunnen ergaben, dass die überwiegende Anzahl der Brunnen betriebsbereit ist. Bei den übrigen Brunnen wurden Mängel festgestellt.</w:t>
      </w:r>
      <w:r w:rsidR="00D8799E" w:rsidRPr="00894290">
        <w:rPr>
          <w:rFonts w:cs="Arial"/>
        </w:rPr>
        <w:t xml:space="preserve"> </w:t>
      </w:r>
      <w:r w:rsidRPr="00894290">
        <w:rPr>
          <w:rFonts w:eastAsiaTheme="minorHAnsi" w:cs="Arial"/>
          <w:lang w:eastAsia="en-US"/>
        </w:rPr>
        <w:t>Die Behebung der festgestellten Mängel ist zu veranlassen und zu überwachen</w:t>
      </w:r>
      <w:r w:rsidR="00D8799E" w:rsidRPr="00894290">
        <w:rPr>
          <w:rFonts w:eastAsiaTheme="minorHAnsi" w:cs="Arial"/>
          <w:lang w:eastAsia="en-US"/>
        </w:rPr>
        <w:t xml:space="preserve">. </w:t>
      </w:r>
      <w:r w:rsidR="00D8799E" w:rsidRPr="00894290">
        <w:rPr>
          <w:rFonts w:cs="Arial"/>
        </w:rPr>
        <w:t xml:space="preserve">Des Weiteren </w:t>
      </w:r>
      <w:r w:rsidRPr="00894290">
        <w:rPr>
          <w:rFonts w:cs="Arial"/>
        </w:rPr>
        <w:t>ist die Ergiebigkeit der Notwasserbrunnen zu überprüfen</w:t>
      </w:r>
      <w:r w:rsidR="003351DB" w:rsidRPr="00894290">
        <w:rPr>
          <w:rFonts w:cs="Arial"/>
        </w:rPr>
        <w:t xml:space="preserve"> und l</w:t>
      </w:r>
      <w:r w:rsidRPr="00894290">
        <w:rPr>
          <w:rFonts w:cs="Arial"/>
        </w:rPr>
        <w:t xml:space="preserve">aut Wassersicherstellungsgesetz ist an den Notwasserbrunnen eine jährliche Wartung sowie alle 5 Jahre ein Funktionstest durchzuführen. </w:t>
      </w:r>
    </w:p>
    <w:p w:rsidR="00760FEB" w:rsidRPr="00894290" w:rsidRDefault="00760FEB" w:rsidP="00760FEB">
      <w:pPr>
        <w:rPr>
          <w:rFonts w:cs="Arial"/>
        </w:rPr>
      </w:pPr>
    </w:p>
    <w:p w:rsidR="00760FEB" w:rsidRPr="00894290" w:rsidRDefault="00760FEB" w:rsidP="00760FEB">
      <w:pPr>
        <w:rPr>
          <w:rFonts w:cs="Arial"/>
          <w:u w:val="single"/>
        </w:rPr>
      </w:pPr>
      <w:r w:rsidRPr="00894290">
        <w:rPr>
          <w:rFonts w:cs="Arial"/>
          <w:u w:val="single"/>
        </w:rPr>
        <w:t>b) Quellfassungen:</w:t>
      </w:r>
    </w:p>
    <w:p w:rsidR="00760FEB" w:rsidRPr="00894290" w:rsidRDefault="00760FEB" w:rsidP="00760FEB">
      <w:pPr>
        <w:rPr>
          <w:rFonts w:cs="Arial"/>
          <w:b/>
        </w:rPr>
      </w:pPr>
    </w:p>
    <w:p w:rsidR="00760FEB" w:rsidRPr="00894290" w:rsidRDefault="00760FEB" w:rsidP="00760FEB">
      <w:pPr>
        <w:rPr>
          <w:rFonts w:cs="Arial"/>
        </w:rPr>
      </w:pPr>
      <w:r w:rsidRPr="00894290">
        <w:rPr>
          <w:rFonts w:cs="Arial"/>
        </w:rPr>
        <w:t xml:space="preserve">Sofern im Zuge der Erfassung und Überprüfung der Quellen bauliche Mängel erfasst wurden, sind diese zeitnah zu beheben. Im Hinblick auf die sich abzeichnenden Trends mit warmen, trockenen Perioden und damit ggfs. zurückgehenden Quellschüttungen sind diese an den jeweiligen Quellen kontinuierlich zu überwachen. </w:t>
      </w:r>
    </w:p>
    <w:p w:rsidR="00760FEB" w:rsidRPr="00894290" w:rsidRDefault="00760FEB" w:rsidP="00760FEB">
      <w:pPr>
        <w:rPr>
          <w:rFonts w:cs="Arial"/>
        </w:rPr>
      </w:pPr>
    </w:p>
    <w:p w:rsidR="00760FEB" w:rsidRPr="00894290" w:rsidRDefault="00760FEB" w:rsidP="00760FEB">
      <w:pPr>
        <w:rPr>
          <w:rFonts w:cs="Arial"/>
          <w:u w:val="single"/>
        </w:rPr>
      </w:pPr>
      <w:r w:rsidRPr="00894290">
        <w:rPr>
          <w:rFonts w:cs="Arial"/>
          <w:u w:val="single"/>
        </w:rPr>
        <w:t>c) Private Brunnen/Industriebrunnen:</w:t>
      </w:r>
    </w:p>
    <w:p w:rsidR="00760FEB" w:rsidRPr="00894290" w:rsidRDefault="00760FEB" w:rsidP="00760FEB">
      <w:pPr>
        <w:rPr>
          <w:rFonts w:cs="Arial"/>
        </w:rPr>
      </w:pPr>
    </w:p>
    <w:p w:rsidR="00760FEB" w:rsidRPr="00894290" w:rsidRDefault="00760FEB" w:rsidP="00760FEB">
      <w:pPr>
        <w:rPr>
          <w:rFonts w:cs="Arial"/>
        </w:rPr>
      </w:pPr>
      <w:r w:rsidRPr="00894290">
        <w:rPr>
          <w:rFonts w:cs="Arial"/>
        </w:rPr>
        <w:t xml:space="preserve">Zur Sicherstellung des Wasserbedarfs müssen auch private Brunnen in die Trinkwassernotversorgung herangezogen werden. Damit diese im Notfall zur Trinkwasserversorgung zur Verfügung stehen, sind durch die untere Wasserbehörde Verpflichtungsbescheide zu erstellen. </w:t>
      </w:r>
    </w:p>
    <w:p w:rsidR="00760FEB" w:rsidRPr="00894290" w:rsidRDefault="00760FEB" w:rsidP="00760FEB">
      <w:pPr>
        <w:rPr>
          <w:rFonts w:cs="Arial"/>
        </w:rPr>
      </w:pPr>
    </w:p>
    <w:p w:rsidR="00760FEB" w:rsidRPr="00894290" w:rsidRDefault="00760FEB" w:rsidP="00760FEB">
      <w:pPr>
        <w:rPr>
          <w:rFonts w:cs="Arial"/>
        </w:rPr>
      </w:pPr>
      <w:r w:rsidRPr="00894290">
        <w:rPr>
          <w:rFonts w:cs="Arial"/>
        </w:rPr>
        <w:t xml:space="preserve">Analog zu den Notbrunnen ist auch bei den privaten Brunnen oder den Industriebrunnen jährlich eine Wartung sowie alle 5 Jahre ein Funktionstest mit Überwachung der Wasserqualität durchzuführen. </w:t>
      </w:r>
    </w:p>
    <w:p w:rsidR="00AA5A79" w:rsidRPr="00894290" w:rsidRDefault="00AA5A79" w:rsidP="00760FEB">
      <w:pPr>
        <w:rPr>
          <w:rFonts w:cs="Arial"/>
        </w:rPr>
      </w:pPr>
    </w:p>
    <w:p w:rsidR="00760FEB" w:rsidRPr="00894290" w:rsidRDefault="00760FEB" w:rsidP="00760FEB">
      <w:pPr>
        <w:rPr>
          <w:rFonts w:cs="Arial"/>
          <w:u w:val="single"/>
        </w:rPr>
      </w:pPr>
      <w:r w:rsidRPr="00894290">
        <w:rPr>
          <w:rFonts w:cs="Arial"/>
          <w:u w:val="single"/>
        </w:rPr>
        <w:t>d) Materialbeschaffung:</w:t>
      </w:r>
    </w:p>
    <w:p w:rsidR="00760FEB" w:rsidRPr="00894290" w:rsidRDefault="00760FEB" w:rsidP="00760FEB">
      <w:pPr>
        <w:rPr>
          <w:rFonts w:cs="Arial"/>
        </w:rPr>
      </w:pPr>
    </w:p>
    <w:p w:rsidR="00644DA1" w:rsidRPr="00894290" w:rsidRDefault="00760FEB" w:rsidP="00884D6C">
      <w:pPr>
        <w:rPr>
          <w:rFonts w:cs="Arial"/>
        </w:rPr>
      </w:pPr>
      <w:r w:rsidRPr="00894290">
        <w:rPr>
          <w:rFonts w:cs="Arial"/>
        </w:rPr>
        <w:t>Sollte die Aktualisierung des Konzeptes Mängel an der Infrastruktur aufzeigen sind diese zu beseitigen.</w:t>
      </w:r>
    </w:p>
    <w:p w:rsidR="003D7B0B" w:rsidRPr="00894290" w:rsidRDefault="003D7B0B" w:rsidP="00165C0D">
      <w:pPr>
        <w:pStyle w:val="berschrift2"/>
      </w:pPr>
      <w:r w:rsidRPr="00894290">
        <w:lastRenderedPageBreak/>
        <w:t>3.2</w:t>
      </w:r>
      <w:r w:rsidRPr="00894290">
        <w:tab/>
        <w:t>Bisherige Aufgabenwahrnehmung</w:t>
      </w:r>
    </w:p>
    <w:p w:rsidR="003D7B0B" w:rsidRPr="00894290" w:rsidRDefault="003D7B0B" w:rsidP="00884D6C"/>
    <w:p w:rsidR="00445058" w:rsidRPr="00894290" w:rsidRDefault="00445058" w:rsidP="00445058">
      <w:pPr>
        <w:jc w:val="both"/>
      </w:pPr>
      <w:r w:rsidRPr="00894290">
        <w:t xml:space="preserve">Die Aktualisierung des Konzeptes zur Trinkwassernotversorgung wurde durch die Netze BW GmbH vorgenommen. </w:t>
      </w:r>
      <w:r w:rsidRPr="00894290">
        <w:rPr>
          <w:rFonts w:cs="Arial"/>
        </w:rPr>
        <w:t xml:space="preserve">Die EnBW/Netze BW hat sich nun von der Aufgabe, die vorliegende Konzeption </w:t>
      </w:r>
      <w:r w:rsidR="00644DA1" w:rsidRPr="00894290">
        <w:rPr>
          <w:rFonts w:cs="Arial"/>
        </w:rPr>
        <w:t xml:space="preserve">aus dem Jahre 2010 </w:t>
      </w:r>
      <w:r w:rsidRPr="00894290">
        <w:rPr>
          <w:rFonts w:cs="Arial"/>
        </w:rPr>
        <w:t>für die Trinkwassernotversorgung zu aktualisieren, zurückgezogen. Die Zuständigkeit wurde stadtintern neu geregelt und die Federführung für die Trinkwassernotversorgung dem A</w:t>
      </w:r>
      <w:r w:rsidR="00D8799E" w:rsidRPr="00894290">
        <w:rPr>
          <w:rFonts w:cs="Arial"/>
        </w:rPr>
        <w:t>mt für Umweltschutz übertragen.</w:t>
      </w:r>
    </w:p>
    <w:p w:rsidR="003D7B0B" w:rsidRPr="00894290" w:rsidRDefault="003D7B0B" w:rsidP="00884D6C"/>
    <w:p w:rsidR="000F30CC" w:rsidRPr="00894290" w:rsidRDefault="00001EFF" w:rsidP="00884D6C">
      <w:r w:rsidRPr="00894290">
        <w:t xml:space="preserve">Die Aktualisierung/Fortschreibung des Konzeptes </w:t>
      </w:r>
      <w:r w:rsidR="007E542B" w:rsidRPr="00894290">
        <w:t>kann</w:t>
      </w:r>
      <w:r w:rsidR="003351DB" w:rsidRPr="00894290">
        <w:t xml:space="preserve"> </w:t>
      </w:r>
      <w:r w:rsidRPr="00894290">
        <w:t xml:space="preserve">mit dem vorhandenen </w:t>
      </w:r>
      <w:r w:rsidR="003351DB" w:rsidRPr="00894290">
        <w:t>P</w:t>
      </w:r>
      <w:r w:rsidRPr="00894290">
        <w:t>ersonal nicht erledigt werden. Eine zusätzliche Stellenschaffung für diese neue Aufgabe ist zwingend erforderlich.</w:t>
      </w:r>
    </w:p>
    <w:p w:rsidR="003D7B0B" w:rsidRPr="00894290" w:rsidRDefault="006E0575" w:rsidP="00884D6C">
      <w:pPr>
        <w:pStyle w:val="berschrift2"/>
      </w:pPr>
      <w:r w:rsidRPr="00894290">
        <w:t>3.3</w:t>
      </w:r>
      <w:r w:rsidR="003D7B0B" w:rsidRPr="00894290">
        <w:tab/>
        <w:t>Auswirkungen bei Ablehnung der Stellenschaffungen</w:t>
      </w:r>
    </w:p>
    <w:p w:rsidR="000A5F23" w:rsidRPr="00894290" w:rsidRDefault="000A5F23" w:rsidP="000A5F23"/>
    <w:p w:rsidR="003D7B0B" w:rsidRPr="00894290" w:rsidRDefault="000A5F23" w:rsidP="00884D6C">
      <w:r w:rsidRPr="00894290">
        <w:t>Sollten die Aufgaben der Trinkwassernotversorgung ohne zusätzliche Stellenanteile geleistet werden müssen, wird sich die Fertigstellung über die nächsten Jahre erstrecken. Ziel muss jedoch die zeitnahe Bereitstellung einer verlässlichen und aktualisierten Trinkwasser-Notversorgung für die Stuttgarter Bevölkerung sein.</w:t>
      </w:r>
    </w:p>
    <w:p w:rsidR="003D7B0B" w:rsidRPr="00894290" w:rsidRDefault="00884D6C" w:rsidP="00884D6C">
      <w:pPr>
        <w:pStyle w:val="berschrift1"/>
      </w:pPr>
      <w:r w:rsidRPr="00894290">
        <w:t>4</w:t>
      </w:r>
      <w:r w:rsidRPr="00894290">
        <w:tab/>
      </w:r>
      <w:r w:rsidR="003D7B0B" w:rsidRPr="00894290">
        <w:t>Stellenvermerke</w:t>
      </w:r>
    </w:p>
    <w:p w:rsidR="003D7B0B" w:rsidRPr="00894290" w:rsidRDefault="003D7B0B" w:rsidP="00884D6C"/>
    <w:p w:rsidR="00DE362D" w:rsidRPr="00894290" w:rsidRDefault="00267882" w:rsidP="00884D6C">
      <w:r w:rsidRPr="00894290">
        <w:t>Zur Überprüfung des künftigen Bedarfs wird die Stelle mit Vermerk KW 01/2024 geschaffen.</w:t>
      </w:r>
    </w:p>
    <w:sectPr w:rsidR="00DE362D" w:rsidRPr="00894290"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EB" w:rsidRDefault="00760FEB">
      <w:r>
        <w:separator/>
      </w:r>
    </w:p>
  </w:endnote>
  <w:endnote w:type="continuationSeparator" w:id="0">
    <w:p w:rsidR="00760FEB" w:rsidRDefault="0076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EB" w:rsidRDefault="00760FEB">
      <w:r>
        <w:separator/>
      </w:r>
    </w:p>
  </w:footnote>
  <w:footnote w:type="continuationSeparator" w:id="0">
    <w:p w:rsidR="00760FEB" w:rsidRDefault="0076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C535A3">
      <w:rPr>
        <w:rStyle w:val="Seitenzahl"/>
        <w:noProof/>
      </w:rPr>
      <w:t>3</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15112D"/>
    <w:multiLevelType w:val="hybridMultilevel"/>
    <w:tmpl w:val="429E1BAC"/>
    <w:lvl w:ilvl="0" w:tplc="F9549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1FA075E6"/>
    <w:multiLevelType w:val="hybridMultilevel"/>
    <w:tmpl w:val="B386CD24"/>
    <w:lvl w:ilvl="0" w:tplc="F9549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4F8140AC"/>
    <w:multiLevelType w:val="hybridMultilevel"/>
    <w:tmpl w:val="7A0A70C0"/>
    <w:lvl w:ilvl="0" w:tplc="F9549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D11AE2"/>
    <w:multiLevelType w:val="hybridMultilevel"/>
    <w:tmpl w:val="EA78A216"/>
    <w:lvl w:ilvl="0" w:tplc="F9549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522A6B"/>
    <w:multiLevelType w:val="hybridMultilevel"/>
    <w:tmpl w:val="E9B2D162"/>
    <w:lvl w:ilvl="0" w:tplc="F9549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F50E31"/>
    <w:multiLevelType w:val="hybridMultilevel"/>
    <w:tmpl w:val="51C8D8C6"/>
    <w:lvl w:ilvl="0" w:tplc="F9549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A36F73"/>
    <w:multiLevelType w:val="hybridMultilevel"/>
    <w:tmpl w:val="D3167DE4"/>
    <w:lvl w:ilvl="0" w:tplc="F9549F6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093C38"/>
    <w:multiLevelType w:val="hybridMultilevel"/>
    <w:tmpl w:val="BEFA024A"/>
    <w:lvl w:ilvl="0" w:tplc="F9549F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5"/>
  </w:num>
  <w:num w:numId="5">
    <w:abstractNumId w:val="12"/>
  </w:num>
  <w:num w:numId="6">
    <w:abstractNumId w:val="10"/>
  </w:num>
  <w:num w:numId="7">
    <w:abstractNumId w:val="11"/>
  </w:num>
  <w:num w:numId="8">
    <w:abstractNumId w:val="4"/>
  </w:num>
  <w:num w:numId="9">
    <w:abstractNumId w:val="1"/>
  </w:num>
  <w:num w:numId="10">
    <w:abstractNumId w:val="9"/>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EB"/>
    <w:rsid w:val="00001EFF"/>
    <w:rsid w:val="00032CFE"/>
    <w:rsid w:val="0003761B"/>
    <w:rsid w:val="00055758"/>
    <w:rsid w:val="000A1146"/>
    <w:rsid w:val="000A5F23"/>
    <w:rsid w:val="000F30CC"/>
    <w:rsid w:val="001034AF"/>
    <w:rsid w:val="0011112B"/>
    <w:rsid w:val="0014415D"/>
    <w:rsid w:val="00151488"/>
    <w:rsid w:val="00163034"/>
    <w:rsid w:val="00164678"/>
    <w:rsid w:val="00165C0D"/>
    <w:rsid w:val="00181857"/>
    <w:rsid w:val="00184EDC"/>
    <w:rsid w:val="00194770"/>
    <w:rsid w:val="001A5F9B"/>
    <w:rsid w:val="001E5124"/>
    <w:rsid w:val="001F7237"/>
    <w:rsid w:val="00267882"/>
    <w:rsid w:val="00275FDC"/>
    <w:rsid w:val="002924CB"/>
    <w:rsid w:val="002A20D1"/>
    <w:rsid w:val="002A4DE3"/>
    <w:rsid w:val="002B5955"/>
    <w:rsid w:val="002F32D1"/>
    <w:rsid w:val="0030686C"/>
    <w:rsid w:val="003351DB"/>
    <w:rsid w:val="003634BF"/>
    <w:rsid w:val="00380937"/>
    <w:rsid w:val="00397717"/>
    <w:rsid w:val="003A383D"/>
    <w:rsid w:val="003D7B0B"/>
    <w:rsid w:val="003F0FAA"/>
    <w:rsid w:val="00445058"/>
    <w:rsid w:val="00470135"/>
    <w:rsid w:val="0047606A"/>
    <w:rsid w:val="004908B5"/>
    <w:rsid w:val="0049121B"/>
    <w:rsid w:val="004A1688"/>
    <w:rsid w:val="004B6796"/>
    <w:rsid w:val="004E09F7"/>
    <w:rsid w:val="005A0A9D"/>
    <w:rsid w:val="005A56AA"/>
    <w:rsid w:val="005E19C6"/>
    <w:rsid w:val="005F5B3D"/>
    <w:rsid w:val="00606F80"/>
    <w:rsid w:val="00622CC7"/>
    <w:rsid w:val="00641835"/>
    <w:rsid w:val="00644DA1"/>
    <w:rsid w:val="006A406B"/>
    <w:rsid w:val="006B6D50"/>
    <w:rsid w:val="006C7DCD"/>
    <w:rsid w:val="006E0575"/>
    <w:rsid w:val="0072799A"/>
    <w:rsid w:val="00732631"/>
    <w:rsid w:val="00754659"/>
    <w:rsid w:val="00760FEB"/>
    <w:rsid w:val="007808FF"/>
    <w:rsid w:val="007D63B7"/>
    <w:rsid w:val="007E3B79"/>
    <w:rsid w:val="007E542B"/>
    <w:rsid w:val="008066EE"/>
    <w:rsid w:val="00817BB6"/>
    <w:rsid w:val="00884D6C"/>
    <w:rsid w:val="00894290"/>
    <w:rsid w:val="008C3202"/>
    <w:rsid w:val="00917A93"/>
    <w:rsid w:val="00920D82"/>
    <w:rsid w:val="00920F00"/>
    <w:rsid w:val="009373F6"/>
    <w:rsid w:val="0096328B"/>
    <w:rsid w:val="00976588"/>
    <w:rsid w:val="009D6C2D"/>
    <w:rsid w:val="00A034B0"/>
    <w:rsid w:val="00A27CA7"/>
    <w:rsid w:val="00A45B30"/>
    <w:rsid w:val="00A6278E"/>
    <w:rsid w:val="00A71D0A"/>
    <w:rsid w:val="00A77F1E"/>
    <w:rsid w:val="00A847C4"/>
    <w:rsid w:val="00AA5A79"/>
    <w:rsid w:val="00AB16C3"/>
    <w:rsid w:val="00AB389D"/>
    <w:rsid w:val="00AE7B02"/>
    <w:rsid w:val="00AF0DEA"/>
    <w:rsid w:val="00AF25E0"/>
    <w:rsid w:val="00B04290"/>
    <w:rsid w:val="00B45613"/>
    <w:rsid w:val="00B80DEF"/>
    <w:rsid w:val="00B86BB5"/>
    <w:rsid w:val="00B91903"/>
    <w:rsid w:val="00BC4669"/>
    <w:rsid w:val="00BF51BE"/>
    <w:rsid w:val="00C16EF1"/>
    <w:rsid w:val="00C448D3"/>
    <w:rsid w:val="00C535A3"/>
    <w:rsid w:val="00C5503A"/>
    <w:rsid w:val="00CE3479"/>
    <w:rsid w:val="00CF62E5"/>
    <w:rsid w:val="00D537D5"/>
    <w:rsid w:val="00D66D3A"/>
    <w:rsid w:val="00D743D4"/>
    <w:rsid w:val="00D8799E"/>
    <w:rsid w:val="00DB3D6C"/>
    <w:rsid w:val="00DE362D"/>
    <w:rsid w:val="00E014B6"/>
    <w:rsid w:val="00E1162F"/>
    <w:rsid w:val="00E11D5F"/>
    <w:rsid w:val="00E20E1F"/>
    <w:rsid w:val="00E21552"/>
    <w:rsid w:val="00E423EB"/>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A72AD"/>
  <w15:docId w15:val="{80F2719F-1A8B-45C1-B9D6-2929BE55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table" w:styleId="Tabellenraster">
    <w:name w:val="Table Grid"/>
    <w:basedOn w:val="NormaleTabelle"/>
    <w:rsid w:val="006C7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BC8E-8EED-473B-BA6E-4E5668D4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Klatt, Monika</dc:creator>
  <cp:lastModifiedBy>Baumann, Gerhard</cp:lastModifiedBy>
  <cp:revision>10</cp:revision>
  <cp:lastPrinted>2021-09-30T08:38:00Z</cp:lastPrinted>
  <dcterms:created xsi:type="dcterms:W3CDTF">2021-01-22T06:30:00Z</dcterms:created>
  <dcterms:modified xsi:type="dcterms:W3CDTF">2021-09-30T08:38:00Z</dcterms:modified>
</cp:coreProperties>
</file>