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07E66">
        <w:rPr>
          <w:szCs w:val="24"/>
        </w:rPr>
        <w:t>18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607E66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2854E0" w:rsidRPr="002854E0" w:rsidRDefault="002854E0" w:rsidP="002854E0">
      <w:pPr>
        <w:jc w:val="center"/>
        <w:rPr>
          <w:b/>
          <w:sz w:val="36"/>
          <w:u w:val="single"/>
        </w:rPr>
      </w:pPr>
      <w:r w:rsidRPr="002854E0">
        <w:rPr>
          <w:b/>
          <w:sz w:val="36"/>
          <w:u w:val="single"/>
        </w:rPr>
        <w:t xml:space="preserve">Verlängerung eines Stellenvermerks </w:t>
      </w:r>
      <w:r w:rsidRPr="002854E0">
        <w:rPr>
          <w:b/>
          <w:sz w:val="36"/>
          <w:u w:val="single"/>
        </w:rPr>
        <w:br/>
        <w:t>zum Stellenplan 2016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2854E0" w:rsidRDefault="002854E0" w:rsidP="002854E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854E0" w:rsidRPr="006E0575" w:rsidRDefault="002854E0" w:rsidP="002854E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11112B" w:rsidRDefault="0011112B" w:rsidP="006E0575">
            <w:pPr>
              <w:rPr>
                <w:sz w:val="20"/>
              </w:rPr>
            </w:pPr>
          </w:p>
          <w:p w:rsidR="00597334" w:rsidRDefault="00607E66" w:rsidP="00597334">
            <w:pPr>
              <w:rPr>
                <w:sz w:val="20"/>
              </w:rPr>
            </w:pPr>
            <w:r>
              <w:rPr>
                <w:sz w:val="20"/>
              </w:rPr>
              <w:t>510 1012 070</w:t>
            </w:r>
          </w:p>
          <w:p w:rsidR="00597334" w:rsidRDefault="00597334" w:rsidP="00597334">
            <w:pPr>
              <w:rPr>
                <w:sz w:val="20"/>
              </w:rPr>
            </w:pPr>
          </w:p>
          <w:p w:rsidR="0011112B" w:rsidRDefault="00597334" w:rsidP="006E0575">
            <w:pPr>
              <w:rPr>
                <w:sz w:val="20"/>
              </w:rPr>
            </w:pPr>
            <w:r>
              <w:rPr>
                <w:sz w:val="20"/>
              </w:rPr>
              <w:t>51001112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597334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59733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7162F7"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597334" w:rsidP="006E0575">
            <w:pPr>
              <w:rPr>
                <w:sz w:val="20"/>
              </w:rPr>
            </w:pPr>
            <w:r>
              <w:rPr>
                <w:sz w:val="20"/>
              </w:rPr>
              <w:t>Sachbearbeiter/in (Beschaffung)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8610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2854E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01/2016</w:t>
            </w:r>
          </w:p>
          <w:p w:rsidR="002854E0" w:rsidRDefault="002854E0" w:rsidP="001F7237">
            <w:pPr>
              <w:jc w:val="center"/>
              <w:rPr>
                <w:sz w:val="20"/>
              </w:rPr>
            </w:pPr>
          </w:p>
          <w:p w:rsidR="002854E0" w:rsidRPr="002854E0" w:rsidRDefault="002854E0" w:rsidP="001F7237">
            <w:pPr>
              <w:jc w:val="center"/>
              <w:rPr>
                <w:b/>
                <w:sz w:val="20"/>
              </w:rPr>
            </w:pPr>
            <w:r w:rsidRPr="002854E0">
              <w:rPr>
                <w:b/>
                <w:sz w:val="20"/>
              </w:rPr>
              <w:t>KW 01/2020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607E6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2854E0" w:rsidRDefault="002854E0" w:rsidP="002854E0">
      <w:pPr>
        <w:rPr>
          <w:b/>
          <w:u w:val="single"/>
        </w:rPr>
      </w:pPr>
    </w:p>
    <w:p w:rsidR="002854E0" w:rsidRPr="00694161" w:rsidRDefault="002854E0" w:rsidP="002854E0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694161">
        <w:rPr>
          <w:b/>
        </w:rPr>
        <w:t>g</w:t>
      </w:r>
      <w:r w:rsidRPr="00694161">
        <w:rPr>
          <w:b/>
          <w:u w:val="single"/>
        </w:rPr>
        <w:t>:</w:t>
      </w:r>
    </w:p>
    <w:p w:rsidR="002854E0" w:rsidRDefault="002854E0" w:rsidP="002854E0"/>
    <w:p w:rsidR="002854E0" w:rsidRDefault="002854E0" w:rsidP="002854E0">
      <w:r>
        <w:rPr>
          <w:noProof/>
          <w:szCs w:val="22"/>
        </w:rPr>
        <w:t>Die Verlängerung des</w:t>
      </w:r>
      <w:r w:rsidRPr="005F4C8A">
        <w:rPr>
          <w:noProof/>
          <w:szCs w:val="22"/>
        </w:rPr>
        <w:t xml:space="preserve"> Stelle</w:t>
      </w:r>
      <w:r>
        <w:rPr>
          <w:noProof/>
          <w:szCs w:val="22"/>
        </w:rPr>
        <w:t xml:space="preserve">nvermerks </w:t>
      </w:r>
      <w:r w:rsidRPr="005F4C8A">
        <w:rPr>
          <w:noProof/>
          <w:szCs w:val="22"/>
        </w:rPr>
        <w:t>ist notwendig, um die zwingend</w:t>
      </w:r>
      <w:r>
        <w:rPr>
          <w:noProof/>
          <w:szCs w:val="22"/>
        </w:rPr>
        <w:t>en</w:t>
      </w:r>
      <w:r w:rsidRPr="005F4C8A">
        <w:rPr>
          <w:noProof/>
          <w:szCs w:val="22"/>
        </w:rPr>
        <w:t xml:space="preserve"> gesetzlichen Vorgaben nach dem </w:t>
      </w:r>
      <w:r>
        <w:rPr>
          <w:noProof/>
          <w:szCs w:val="22"/>
        </w:rPr>
        <w:t xml:space="preserve">Sozialgesetzbuch XIII in Verbindung mit dem </w:t>
      </w:r>
      <w:r w:rsidRPr="005F4C8A">
        <w:rPr>
          <w:noProof/>
          <w:szCs w:val="22"/>
        </w:rPr>
        <w:t>Tagesausbau</w:t>
      </w:r>
      <w:r>
        <w:rPr>
          <w:noProof/>
          <w:szCs w:val="22"/>
        </w:rPr>
        <w:t>-</w:t>
      </w:r>
      <w:r w:rsidRPr="005F4C8A">
        <w:rPr>
          <w:noProof/>
          <w:szCs w:val="22"/>
        </w:rPr>
        <w:t xml:space="preserve">betreuungsgesetz (TAG) </w:t>
      </w:r>
      <w:r>
        <w:rPr>
          <w:noProof/>
          <w:szCs w:val="22"/>
        </w:rPr>
        <w:t xml:space="preserve">und dem Kinderförderungsgesetz (KiFöG) </w:t>
      </w:r>
      <w:r w:rsidRPr="005F4C8A">
        <w:rPr>
          <w:noProof/>
          <w:szCs w:val="22"/>
        </w:rPr>
        <w:t>zu erfü</w:t>
      </w:r>
      <w:r>
        <w:rPr>
          <w:noProof/>
          <w:szCs w:val="22"/>
        </w:rPr>
        <w:t>llen. Danach hat jedes Kind von 1</w:t>
      </w:r>
      <w:r w:rsidRPr="005F4C8A">
        <w:rPr>
          <w:noProof/>
          <w:szCs w:val="22"/>
        </w:rPr>
        <w:t xml:space="preserve"> bis 3 Jahren einen </w:t>
      </w:r>
      <w:r>
        <w:rPr>
          <w:noProof/>
          <w:szCs w:val="22"/>
        </w:rPr>
        <w:t xml:space="preserve">einklagbaren </w:t>
      </w:r>
      <w:r w:rsidRPr="005F4C8A">
        <w:rPr>
          <w:noProof/>
          <w:szCs w:val="22"/>
        </w:rPr>
        <w:t>Anspruch auf einen Krippenplatz.</w:t>
      </w:r>
      <w:r>
        <w:t xml:space="preserve"> </w:t>
      </w:r>
    </w:p>
    <w:p w:rsidR="002854E0" w:rsidRDefault="002854E0" w:rsidP="002854E0"/>
    <w:p w:rsidR="002854E0" w:rsidRDefault="002854E0" w:rsidP="002854E0">
      <w:r>
        <w:t xml:space="preserve">Um diesen geforderten Ausbau der Kleinkindbetreuung aktiv umsetzen zu können, ist die Verlängerung des </w:t>
      </w:r>
      <w:r w:rsidRPr="005F4C8A">
        <w:rPr>
          <w:noProof/>
          <w:szCs w:val="22"/>
        </w:rPr>
        <w:t>Stelle</w:t>
      </w:r>
      <w:r>
        <w:rPr>
          <w:noProof/>
          <w:szCs w:val="22"/>
        </w:rPr>
        <w:t xml:space="preserve">nvermerks </w:t>
      </w:r>
      <w:r>
        <w:t>erforderlich. Nur wenn auch im Bereich Bescha</w:t>
      </w:r>
      <w:r>
        <w:t>f</w:t>
      </w:r>
      <w:r>
        <w:t xml:space="preserve">fung zumindest die jetzt vorhandenen Personalressourcen beibehalten werden, können die neuen Einrichtungen </w:t>
      </w:r>
      <w:proofErr w:type="spellStart"/>
      <w:r>
        <w:t>bedarfs</w:t>
      </w:r>
      <w:proofErr w:type="spellEnd"/>
      <w:r>
        <w:t>- und zeitgerecht eingerichtet und ausgestattet werden.</w:t>
      </w:r>
    </w:p>
    <w:p w:rsidR="002854E0" w:rsidRDefault="002854E0" w:rsidP="002854E0"/>
    <w:p w:rsidR="002854E0" w:rsidRDefault="002854E0" w:rsidP="002854E0">
      <w:r>
        <w:t>Im Jahre 2015 werden vom städtischen Träger beispielsweise nach a</w:t>
      </w:r>
      <w:r>
        <w:t>k</w:t>
      </w:r>
      <w:r>
        <w:t>tuellem Stand neun neue Tageseinrichtungen in Betrieb genommen, die zuvor komplett eingerichtet und ausgestattet werden m</w:t>
      </w:r>
      <w:r w:rsidR="00607E66">
        <w:t>u</w:t>
      </w:r>
      <w:r>
        <w:t>ss</w:t>
      </w:r>
      <w:r w:rsidR="00607E66">
        <w:t>t</w:t>
      </w:r>
      <w:r>
        <w:t>en (Möbel für Kinder bzw. Kleinkinder, Betten, Büroau</w:t>
      </w:r>
      <w:r>
        <w:t>s</w:t>
      </w:r>
      <w:r>
        <w:t>stattung, Einrichtung und Ausstattung für Personalräume, Vorhänge, Teppiche, Schmutzfangmatten, Bewegungsgeräte, Kinderfahrzeuge, Spielzeug, Geschirr, Bettw</w:t>
      </w:r>
      <w:r>
        <w:t>ä</w:t>
      </w:r>
      <w:r>
        <w:t xml:space="preserve">sche,…). </w:t>
      </w:r>
    </w:p>
    <w:p w:rsidR="002854E0" w:rsidRDefault="002854E0" w:rsidP="002854E0"/>
    <w:p w:rsidR="002854E0" w:rsidRDefault="002854E0" w:rsidP="002854E0">
      <w:r>
        <w:t>Um weitere Plätze v.a. für Kinder zwischen 0 und 3 Jahren zu schaffen und das Ang</w:t>
      </w:r>
      <w:r>
        <w:t>e</w:t>
      </w:r>
      <w:r>
        <w:t>bot an den örtlichen Bedarf anzupassen, sind außerdem Angebotsveränderungen u</w:t>
      </w:r>
      <w:r>
        <w:t>m</w:t>
      </w:r>
      <w:r>
        <w:t>zusetzen. Hier müssen vorwiegend Einrichtung und Ausstattung an die neuen Gru</w:t>
      </w:r>
      <w:r>
        <w:t>p</w:t>
      </w:r>
      <w:r>
        <w:t>penzusammensetzungen in den Einrichtungen angepasst werden. Aktuell arbeitet die Dienststelle Gebäudebedarfsplanung, Beschaffung und Mietmanagement an 155 A</w:t>
      </w:r>
      <w:r>
        <w:t>n</w:t>
      </w:r>
      <w:r>
        <w:t xml:space="preserve">gebotsveränderungen. Mit </w:t>
      </w:r>
      <w:proofErr w:type="spellStart"/>
      <w:r>
        <w:t>GRDrs</w:t>
      </w:r>
      <w:proofErr w:type="spellEnd"/>
      <w:r>
        <w:t xml:space="preserve"> 640/2014 „</w:t>
      </w:r>
      <w:proofErr w:type="spellStart"/>
      <w:r>
        <w:t>Sachstandsbericht</w:t>
      </w:r>
      <w:proofErr w:type="spellEnd"/>
      <w:r>
        <w:t xml:space="preserve"> Kindertagesbetreuung in Stuttgart 2014“ sind darüber hinaus aktuell 24 weitere Angebotsveränderungen b</w:t>
      </w:r>
      <w:r>
        <w:t>e</w:t>
      </w:r>
      <w:r>
        <w:t>schlossen worden.</w:t>
      </w:r>
    </w:p>
    <w:p w:rsidR="00607E66" w:rsidRDefault="00607E66" w:rsidP="002854E0"/>
    <w:p w:rsidR="002854E0" w:rsidRDefault="00607E66" w:rsidP="002854E0">
      <w:r>
        <w:t>A</w:t>
      </w:r>
      <w:r w:rsidR="002854E0">
        <w:t>ndere Aufgaben können nicht reduziert werden, weil der laufende Betrieb der Ki</w:t>
      </w:r>
      <w:r w:rsidR="002854E0">
        <w:t>n</w:t>
      </w:r>
      <w:r w:rsidR="002854E0">
        <w:t>der- und Jugendhilfeeinrichtungen zu sichern und zu gewährleisten ist.</w:t>
      </w:r>
    </w:p>
    <w:p w:rsidR="002854E0" w:rsidRPr="00401FA1" w:rsidRDefault="002854E0" w:rsidP="002854E0"/>
    <w:p w:rsidR="002854E0" w:rsidRDefault="002854E0" w:rsidP="002854E0">
      <w:r>
        <w:rPr>
          <w:bCs/>
        </w:rPr>
        <w:lastRenderedPageBreak/>
        <w:t xml:space="preserve">Für </w:t>
      </w:r>
      <w:r w:rsidRPr="00401FA1">
        <w:rPr>
          <w:bCs/>
        </w:rPr>
        <w:t>alle Verw</w:t>
      </w:r>
      <w:r>
        <w:rPr>
          <w:bCs/>
        </w:rPr>
        <w:t xml:space="preserve">altungsdienststellen, die </w:t>
      </w:r>
      <w:proofErr w:type="spellStart"/>
      <w:r w:rsidRPr="00401FA1">
        <w:rPr>
          <w:bCs/>
        </w:rPr>
        <w:t>HzE</w:t>
      </w:r>
      <w:proofErr w:type="spellEnd"/>
      <w:r>
        <w:rPr>
          <w:bCs/>
        </w:rPr>
        <w:t>-Wohnungen (Hilfe zur Erziehung), die Pe</w:t>
      </w:r>
      <w:r>
        <w:rPr>
          <w:bCs/>
        </w:rPr>
        <w:t>r</w:t>
      </w:r>
      <w:r>
        <w:rPr>
          <w:bCs/>
        </w:rPr>
        <w:t xml:space="preserve">sonalzimmer und Fortbildungsräume, die Beratungszentren sowie die insgesamt 186 Tageseinrichtungen für Kinder stehen derzeit nur 1,85 Stellen zur Verfügung (inklusive </w:t>
      </w:r>
      <w:r w:rsidR="00607E66">
        <w:rPr>
          <w:bCs/>
        </w:rPr>
        <w:t>d</w:t>
      </w:r>
      <w:r>
        <w:rPr>
          <w:bCs/>
        </w:rPr>
        <w:t xml:space="preserve">er halben Stelle mit KW 01/2016). </w:t>
      </w:r>
      <w:r>
        <w:t>Die bei neuen Einrichtungen, Angeb</w:t>
      </w:r>
      <w:r w:rsidR="00607E66">
        <w:t>otsver</w:t>
      </w:r>
      <w:r>
        <w:t>änd</w:t>
      </w:r>
      <w:r w:rsidR="00607E66">
        <w:t>er</w:t>
      </w:r>
      <w:r>
        <w:t>u</w:t>
      </w:r>
      <w:r>
        <w:t>n</w:t>
      </w:r>
      <w:r>
        <w:t>gen, Erneuerungen im Bestand usw. notwendige fachliche Beratung der Einrichtungsle</w:t>
      </w:r>
      <w:r>
        <w:t>i</w:t>
      </w:r>
      <w:r>
        <w:t>tungen, die Auswahl geeigneter Produkte, die eigentliche Beschaffung, die Budge</w:t>
      </w:r>
      <w:r>
        <w:t>t</w:t>
      </w:r>
      <w:r>
        <w:t>überwachung sowie Nacharbeiten (z.B. bei Reklamationen, Lieferverzögerungen</w:t>
      </w:r>
      <w:r w:rsidR="00607E66">
        <w:t>)</w:t>
      </w:r>
      <w:r>
        <w:t xml:space="preserve"> m</w:t>
      </w:r>
      <w:r>
        <w:t>a</w:t>
      </w:r>
      <w:r>
        <w:t>chen die Verlängerung des KW-Vermerks erforderlich.</w:t>
      </w:r>
    </w:p>
    <w:sectPr w:rsidR="002854E0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E0" w:rsidRDefault="002854E0">
      <w:r>
        <w:separator/>
      </w:r>
    </w:p>
  </w:endnote>
  <w:endnote w:type="continuationSeparator" w:id="0">
    <w:p w:rsidR="002854E0" w:rsidRDefault="0028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E0" w:rsidRDefault="002854E0">
      <w:r>
        <w:separator/>
      </w:r>
    </w:p>
  </w:footnote>
  <w:footnote w:type="continuationSeparator" w:id="0">
    <w:p w:rsidR="002854E0" w:rsidRDefault="0028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E0" w:rsidRDefault="002854E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854B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854BF">
      <w:rPr>
        <w:rStyle w:val="Seitenzahl"/>
      </w:rPr>
      <w:fldChar w:fldCharType="separate"/>
    </w:r>
    <w:r w:rsidR="00607E66">
      <w:rPr>
        <w:rStyle w:val="Seitenzahl"/>
        <w:noProof/>
      </w:rPr>
      <w:t>2</w:t>
    </w:r>
    <w:r w:rsidR="002854BF">
      <w:rPr>
        <w:rStyle w:val="Seitenzahl"/>
      </w:rPr>
      <w:fldChar w:fldCharType="end"/>
    </w:r>
    <w:r>
      <w:rPr>
        <w:rStyle w:val="Seitenzahl"/>
      </w:rPr>
      <w:t xml:space="preserve"> -</w:t>
    </w:r>
  </w:p>
  <w:p w:rsidR="002854E0" w:rsidRDefault="002854E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EA9"/>
    <w:rsid w:val="00055758"/>
    <w:rsid w:val="000A1146"/>
    <w:rsid w:val="000E57AF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016BA"/>
    <w:rsid w:val="002854BF"/>
    <w:rsid w:val="002854E0"/>
    <w:rsid w:val="002924CB"/>
    <w:rsid w:val="002A20D1"/>
    <w:rsid w:val="002A4DE3"/>
    <w:rsid w:val="002B5955"/>
    <w:rsid w:val="002E7EA9"/>
    <w:rsid w:val="00316BF6"/>
    <w:rsid w:val="00362C12"/>
    <w:rsid w:val="00380937"/>
    <w:rsid w:val="00397717"/>
    <w:rsid w:val="003C5DE6"/>
    <w:rsid w:val="003D10B7"/>
    <w:rsid w:val="003D7457"/>
    <w:rsid w:val="003D7B0B"/>
    <w:rsid w:val="004327A4"/>
    <w:rsid w:val="00460A18"/>
    <w:rsid w:val="00470135"/>
    <w:rsid w:val="0047606A"/>
    <w:rsid w:val="00483EBA"/>
    <w:rsid w:val="004908B5"/>
    <w:rsid w:val="0049121B"/>
    <w:rsid w:val="004A1688"/>
    <w:rsid w:val="004A1DFA"/>
    <w:rsid w:val="004B6796"/>
    <w:rsid w:val="004E7889"/>
    <w:rsid w:val="005211B3"/>
    <w:rsid w:val="00551EED"/>
    <w:rsid w:val="00597334"/>
    <w:rsid w:val="005A0A9D"/>
    <w:rsid w:val="005A56AA"/>
    <w:rsid w:val="005E19C6"/>
    <w:rsid w:val="005F5B3D"/>
    <w:rsid w:val="00606F80"/>
    <w:rsid w:val="00607E66"/>
    <w:rsid w:val="00622CC7"/>
    <w:rsid w:val="006368DF"/>
    <w:rsid w:val="006B6D50"/>
    <w:rsid w:val="006C450D"/>
    <w:rsid w:val="006E0575"/>
    <w:rsid w:val="007162F7"/>
    <w:rsid w:val="0072799A"/>
    <w:rsid w:val="00754659"/>
    <w:rsid w:val="007E3B79"/>
    <w:rsid w:val="008066EE"/>
    <w:rsid w:val="00817BB6"/>
    <w:rsid w:val="00836DAC"/>
    <w:rsid w:val="00854097"/>
    <w:rsid w:val="00884D6C"/>
    <w:rsid w:val="00886104"/>
    <w:rsid w:val="008B3DAA"/>
    <w:rsid w:val="008B5095"/>
    <w:rsid w:val="00900CE4"/>
    <w:rsid w:val="009373F6"/>
    <w:rsid w:val="00976588"/>
    <w:rsid w:val="009B21BE"/>
    <w:rsid w:val="00A06F17"/>
    <w:rsid w:val="00A27CA7"/>
    <w:rsid w:val="00A3443B"/>
    <w:rsid w:val="00A71D0A"/>
    <w:rsid w:val="00A77F1E"/>
    <w:rsid w:val="00A847C4"/>
    <w:rsid w:val="00AB389D"/>
    <w:rsid w:val="00AF0DEA"/>
    <w:rsid w:val="00B04290"/>
    <w:rsid w:val="00B35771"/>
    <w:rsid w:val="00B66B0F"/>
    <w:rsid w:val="00B70F41"/>
    <w:rsid w:val="00B80DEF"/>
    <w:rsid w:val="00B91903"/>
    <w:rsid w:val="00BC4669"/>
    <w:rsid w:val="00BF37F8"/>
    <w:rsid w:val="00BF39CB"/>
    <w:rsid w:val="00C16EF1"/>
    <w:rsid w:val="00C17497"/>
    <w:rsid w:val="00C20CC3"/>
    <w:rsid w:val="00C448D3"/>
    <w:rsid w:val="00CC4B13"/>
    <w:rsid w:val="00CF62E5"/>
    <w:rsid w:val="00D14468"/>
    <w:rsid w:val="00D23E4B"/>
    <w:rsid w:val="00D445ED"/>
    <w:rsid w:val="00D66A1E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95486"/>
    <w:rsid w:val="00EB0EFF"/>
    <w:rsid w:val="00EC5AAB"/>
    <w:rsid w:val="00EE22DA"/>
    <w:rsid w:val="00F27657"/>
    <w:rsid w:val="00F342DC"/>
    <w:rsid w:val="00F56F93"/>
    <w:rsid w:val="00F61AA8"/>
    <w:rsid w:val="00F63041"/>
    <w:rsid w:val="00F76452"/>
    <w:rsid w:val="00FC74B4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EBA5F-6286-40AA-9604-C0C46793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u510022</dc:creator>
  <cp:keywords/>
  <cp:lastModifiedBy>U103007</cp:lastModifiedBy>
  <cp:revision>3</cp:revision>
  <cp:lastPrinted>2015-10-12T17:22:00Z</cp:lastPrinted>
  <dcterms:created xsi:type="dcterms:W3CDTF">2015-09-07T10:40:00Z</dcterms:created>
  <dcterms:modified xsi:type="dcterms:W3CDTF">2015-10-12T17:22:00Z</dcterms:modified>
</cp:coreProperties>
</file>