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31C21">
      <w:pPr>
        <w:jc w:val="right"/>
      </w:pPr>
      <w:bookmarkStart w:id="0" w:name="_GoBack"/>
      <w:bookmarkEnd w:id="0"/>
      <w:r w:rsidRPr="006E0575">
        <w:t xml:space="preserve">Anlage </w:t>
      </w:r>
      <w:r w:rsidR="00D142FB">
        <w:t>40</w:t>
      </w:r>
      <w:r w:rsidRPr="006E0575">
        <w:t xml:space="preserve"> zur GRDrs</w:t>
      </w:r>
      <w:r w:rsidR="00D142FB">
        <w:t>.</w:t>
      </w:r>
      <w:r w:rsidRPr="006E0575">
        <w:t xml:space="preserve"> </w:t>
      </w:r>
      <w:r w:rsidR="00D142FB">
        <w:t>821</w:t>
      </w:r>
      <w:r w:rsidR="005F5B3D">
        <w:t>/20</w:t>
      </w:r>
      <w:r w:rsidR="00AE7B02">
        <w:t>2</w:t>
      </w:r>
      <w:r w:rsidR="00026253">
        <w:t>3</w:t>
      </w:r>
    </w:p>
    <w:p w:rsidR="003D7B0B" w:rsidRPr="006E0575" w:rsidRDefault="003D7B0B" w:rsidP="00E765D0">
      <w:pPr>
        <w:jc w:val="both"/>
      </w:pPr>
    </w:p>
    <w:p w:rsidR="003D7B0B" w:rsidRPr="006E0575" w:rsidRDefault="003D7B0B" w:rsidP="00E765D0">
      <w:pPr>
        <w:jc w:val="both"/>
      </w:pPr>
    </w:p>
    <w:p w:rsidR="003E0F4B" w:rsidRDefault="003D7B0B" w:rsidP="00D31C21">
      <w:pPr>
        <w:jc w:val="center"/>
        <w:rPr>
          <w:b/>
          <w:sz w:val="36"/>
        </w:rPr>
      </w:pPr>
      <w:r>
        <w:rPr>
          <w:b/>
          <w:sz w:val="36"/>
          <w:u w:val="single"/>
        </w:rPr>
        <w:t>Stellenschaffun</w:t>
      </w:r>
      <w:r w:rsidRPr="00AB389D">
        <w:rPr>
          <w:b/>
          <w:sz w:val="36"/>
        </w:rPr>
        <w:t>g</w:t>
      </w:r>
    </w:p>
    <w:p w:rsidR="003D7B0B" w:rsidRPr="00E42F96" w:rsidRDefault="00184EDC" w:rsidP="00D31C21">
      <w:pPr>
        <w:jc w:val="center"/>
        <w:rPr>
          <w:b/>
          <w:sz w:val="36"/>
          <w:szCs w:val="36"/>
          <w:u w:val="single"/>
        </w:rPr>
      </w:pPr>
      <w:r w:rsidRPr="00E42F96">
        <w:rPr>
          <w:b/>
          <w:sz w:val="36"/>
          <w:szCs w:val="36"/>
          <w:u w:val="single"/>
        </w:rPr>
        <w:t>zum Stellenplan 20</w:t>
      </w:r>
      <w:r w:rsidR="00DE362D">
        <w:rPr>
          <w:b/>
          <w:sz w:val="36"/>
          <w:szCs w:val="36"/>
          <w:u w:val="single"/>
        </w:rPr>
        <w:t>2</w:t>
      </w:r>
      <w:r w:rsidR="00816690">
        <w:rPr>
          <w:b/>
          <w:sz w:val="36"/>
          <w:szCs w:val="36"/>
          <w:u w:val="single"/>
        </w:rPr>
        <w:t>4</w:t>
      </w:r>
    </w:p>
    <w:p w:rsidR="003D7B0B" w:rsidRDefault="003D7B0B" w:rsidP="00E765D0">
      <w:pPr>
        <w:jc w:val="both"/>
        <w:rPr>
          <w:u w:val="single"/>
        </w:rPr>
      </w:pPr>
    </w:p>
    <w:p w:rsidR="00DE362D" w:rsidRPr="00E42F96" w:rsidRDefault="00DE362D" w:rsidP="00E765D0">
      <w:pPr>
        <w:jc w:val="both"/>
        <w:rPr>
          <w:u w:val="single"/>
        </w:rPr>
      </w:pPr>
    </w:p>
    <w:tbl>
      <w:tblPr>
        <w:tblW w:w="904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23"/>
        <w:gridCol w:w="1701"/>
        <w:gridCol w:w="1551"/>
        <w:gridCol w:w="1417"/>
        <w:gridCol w:w="709"/>
        <w:gridCol w:w="860"/>
        <w:gridCol w:w="1588"/>
      </w:tblGrid>
      <w:tr w:rsidR="005F5B3D" w:rsidRPr="006E0575" w:rsidTr="00430A30">
        <w:trPr>
          <w:tblHeader/>
        </w:trPr>
        <w:tc>
          <w:tcPr>
            <w:tcW w:w="1223" w:type="dxa"/>
            <w:shd w:val="pct12" w:color="auto" w:fill="FFFFFF"/>
          </w:tcPr>
          <w:p w:rsidR="00DE362D" w:rsidRDefault="005F5B3D" w:rsidP="00E765D0">
            <w:pPr>
              <w:spacing w:before="120" w:after="120" w:line="200" w:lineRule="exact"/>
              <w:jc w:val="both"/>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E765D0">
            <w:pPr>
              <w:spacing w:before="120" w:after="120" w:line="200" w:lineRule="exact"/>
              <w:jc w:val="both"/>
              <w:rPr>
                <w:sz w:val="16"/>
                <w:szCs w:val="16"/>
              </w:rPr>
            </w:pPr>
            <w:r>
              <w:rPr>
                <w:sz w:val="16"/>
                <w:szCs w:val="16"/>
              </w:rPr>
              <w:t>Kostenstelle</w:t>
            </w:r>
          </w:p>
        </w:tc>
        <w:tc>
          <w:tcPr>
            <w:tcW w:w="1701" w:type="dxa"/>
            <w:shd w:val="pct12" w:color="auto" w:fill="FFFFFF"/>
          </w:tcPr>
          <w:p w:rsidR="005F5B3D" w:rsidRPr="006E0575" w:rsidRDefault="005F5B3D" w:rsidP="00E765D0">
            <w:pPr>
              <w:spacing w:before="120" w:after="120" w:line="200" w:lineRule="exact"/>
              <w:jc w:val="both"/>
              <w:rPr>
                <w:sz w:val="16"/>
                <w:szCs w:val="16"/>
              </w:rPr>
            </w:pPr>
            <w:r w:rsidRPr="006E0575">
              <w:rPr>
                <w:sz w:val="16"/>
                <w:szCs w:val="16"/>
              </w:rPr>
              <w:t>Amt</w:t>
            </w:r>
          </w:p>
        </w:tc>
        <w:tc>
          <w:tcPr>
            <w:tcW w:w="1551" w:type="dxa"/>
            <w:shd w:val="pct12" w:color="auto" w:fill="FFFFFF"/>
          </w:tcPr>
          <w:p w:rsidR="00DE362D" w:rsidRDefault="00606F80" w:rsidP="00E765D0">
            <w:pPr>
              <w:spacing w:before="120" w:after="120" w:line="200" w:lineRule="exact"/>
              <w:jc w:val="both"/>
              <w:rPr>
                <w:sz w:val="16"/>
                <w:szCs w:val="16"/>
              </w:rPr>
            </w:pPr>
            <w:r>
              <w:rPr>
                <w:sz w:val="16"/>
                <w:szCs w:val="16"/>
              </w:rPr>
              <w:t>BesGr.</w:t>
            </w:r>
          </w:p>
          <w:p w:rsidR="00DE362D" w:rsidRDefault="00606F80" w:rsidP="00E765D0">
            <w:pPr>
              <w:spacing w:before="120" w:after="120" w:line="200" w:lineRule="exact"/>
              <w:jc w:val="both"/>
              <w:rPr>
                <w:sz w:val="16"/>
                <w:szCs w:val="16"/>
              </w:rPr>
            </w:pPr>
            <w:r>
              <w:rPr>
                <w:sz w:val="16"/>
                <w:szCs w:val="16"/>
              </w:rPr>
              <w:t>oder</w:t>
            </w:r>
          </w:p>
          <w:p w:rsidR="00606F80" w:rsidRPr="006E0575" w:rsidRDefault="00606F80" w:rsidP="00E765D0">
            <w:pPr>
              <w:spacing w:before="120" w:after="120" w:line="200" w:lineRule="exact"/>
              <w:jc w:val="both"/>
              <w:rPr>
                <w:sz w:val="16"/>
                <w:szCs w:val="16"/>
              </w:rPr>
            </w:pPr>
            <w:r>
              <w:rPr>
                <w:sz w:val="16"/>
                <w:szCs w:val="16"/>
              </w:rPr>
              <w:t>EG</w:t>
            </w:r>
          </w:p>
        </w:tc>
        <w:tc>
          <w:tcPr>
            <w:tcW w:w="1417" w:type="dxa"/>
            <w:shd w:val="pct12" w:color="auto" w:fill="FFFFFF"/>
          </w:tcPr>
          <w:p w:rsidR="005F5B3D" w:rsidRPr="006E0575" w:rsidRDefault="005F5B3D" w:rsidP="00E765D0">
            <w:pPr>
              <w:spacing w:before="120" w:after="120" w:line="200" w:lineRule="exact"/>
              <w:jc w:val="both"/>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709" w:type="dxa"/>
            <w:shd w:val="pct12" w:color="auto" w:fill="FFFFFF"/>
          </w:tcPr>
          <w:p w:rsidR="005F5B3D" w:rsidRPr="006E0575" w:rsidRDefault="005F5B3D" w:rsidP="00E765D0">
            <w:pPr>
              <w:spacing w:before="120" w:after="120" w:line="200" w:lineRule="exact"/>
              <w:jc w:val="both"/>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860" w:type="dxa"/>
            <w:shd w:val="pct12" w:color="auto" w:fill="FFFFFF"/>
          </w:tcPr>
          <w:p w:rsidR="005F5B3D" w:rsidRPr="006E0575" w:rsidRDefault="005F5B3D" w:rsidP="00E765D0">
            <w:pPr>
              <w:spacing w:before="120" w:after="120" w:line="200" w:lineRule="exact"/>
              <w:jc w:val="both"/>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E765D0">
            <w:pPr>
              <w:spacing w:before="120" w:after="120" w:line="200" w:lineRule="exact"/>
              <w:jc w:val="both"/>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430A30" w:rsidRPr="006E0575" w:rsidTr="00430A30">
        <w:tc>
          <w:tcPr>
            <w:tcW w:w="1223" w:type="dxa"/>
          </w:tcPr>
          <w:p w:rsidR="00430A30" w:rsidRDefault="00430A30" w:rsidP="00430A30">
            <w:pPr>
              <w:jc w:val="both"/>
              <w:rPr>
                <w:sz w:val="20"/>
              </w:rPr>
            </w:pPr>
          </w:p>
          <w:p w:rsidR="00430A30" w:rsidRDefault="00430A30" w:rsidP="00430A30">
            <w:pPr>
              <w:jc w:val="both"/>
              <w:rPr>
                <w:sz w:val="20"/>
              </w:rPr>
            </w:pPr>
            <w:r>
              <w:rPr>
                <w:sz w:val="20"/>
              </w:rPr>
              <w:t>37-23</w:t>
            </w:r>
          </w:p>
          <w:p w:rsidR="00430A30" w:rsidRDefault="00430A30" w:rsidP="00430A30">
            <w:pPr>
              <w:jc w:val="both"/>
              <w:rPr>
                <w:sz w:val="20"/>
              </w:rPr>
            </w:pPr>
            <w:r>
              <w:rPr>
                <w:sz w:val="20"/>
              </w:rPr>
              <w:t>3720 6310</w:t>
            </w:r>
          </w:p>
          <w:p w:rsidR="00430A30" w:rsidRDefault="00430A30" w:rsidP="00430A30">
            <w:pPr>
              <w:jc w:val="both"/>
              <w:rPr>
                <w:sz w:val="20"/>
              </w:rPr>
            </w:pPr>
          </w:p>
          <w:p w:rsidR="00916ADC" w:rsidRDefault="00916ADC" w:rsidP="00916ADC">
            <w:pPr>
              <w:jc w:val="both"/>
              <w:rPr>
                <w:sz w:val="20"/>
              </w:rPr>
            </w:pPr>
            <w:r>
              <w:rPr>
                <w:sz w:val="20"/>
              </w:rPr>
              <w:t>3720 6310</w:t>
            </w:r>
          </w:p>
          <w:p w:rsidR="00916ADC" w:rsidRDefault="00916ADC" w:rsidP="00430A30">
            <w:pPr>
              <w:jc w:val="both"/>
              <w:rPr>
                <w:sz w:val="20"/>
              </w:rPr>
            </w:pPr>
          </w:p>
          <w:p w:rsidR="00916ADC" w:rsidRDefault="00916ADC" w:rsidP="00916ADC">
            <w:pPr>
              <w:jc w:val="both"/>
              <w:rPr>
                <w:sz w:val="20"/>
              </w:rPr>
            </w:pPr>
            <w:r>
              <w:rPr>
                <w:sz w:val="20"/>
              </w:rPr>
              <w:t>3720 6310</w:t>
            </w:r>
          </w:p>
          <w:p w:rsidR="00916ADC" w:rsidRPr="006E0575" w:rsidRDefault="00916ADC" w:rsidP="00430A30">
            <w:pPr>
              <w:jc w:val="both"/>
              <w:rPr>
                <w:sz w:val="20"/>
              </w:rPr>
            </w:pPr>
          </w:p>
        </w:tc>
        <w:tc>
          <w:tcPr>
            <w:tcW w:w="1701" w:type="dxa"/>
          </w:tcPr>
          <w:p w:rsidR="00430A30" w:rsidRDefault="00430A30" w:rsidP="00430A30">
            <w:pPr>
              <w:rPr>
                <w:sz w:val="20"/>
              </w:rPr>
            </w:pPr>
          </w:p>
          <w:p w:rsidR="00430A30" w:rsidRPr="006E0575" w:rsidRDefault="00430A30" w:rsidP="00430A30">
            <w:pPr>
              <w:rPr>
                <w:sz w:val="20"/>
              </w:rPr>
            </w:pPr>
            <w:r>
              <w:rPr>
                <w:sz w:val="20"/>
              </w:rPr>
              <w:t>Branddirektion</w:t>
            </w:r>
          </w:p>
        </w:tc>
        <w:tc>
          <w:tcPr>
            <w:tcW w:w="1551" w:type="dxa"/>
          </w:tcPr>
          <w:p w:rsidR="00430A30" w:rsidRDefault="00430A30" w:rsidP="00430A30">
            <w:pPr>
              <w:jc w:val="both"/>
              <w:rPr>
                <w:sz w:val="20"/>
              </w:rPr>
            </w:pPr>
          </w:p>
          <w:p w:rsidR="00430A30" w:rsidRDefault="00430A30" w:rsidP="00430A30">
            <w:pPr>
              <w:jc w:val="both"/>
              <w:rPr>
                <w:sz w:val="20"/>
              </w:rPr>
            </w:pPr>
          </w:p>
          <w:p w:rsidR="00430A30" w:rsidRDefault="00430A30" w:rsidP="00430A30">
            <w:pPr>
              <w:rPr>
                <w:sz w:val="20"/>
              </w:rPr>
            </w:pPr>
            <w:r>
              <w:rPr>
                <w:sz w:val="20"/>
              </w:rPr>
              <w:t xml:space="preserve">BesGr. </w:t>
            </w:r>
            <w:r w:rsidRPr="004764D5">
              <w:rPr>
                <w:sz w:val="20"/>
              </w:rPr>
              <w:t xml:space="preserve">A </w:t>
            </w:r>
            <w:r>
              <w:rPr>
                <w:sz w:val="20"/>
              </w:rPr>
              <w:t>10M</w:t>
            </w:r>
          </w:p>
          <w:p w:rsidR="00430A30" w:rsidRDefault="00430A30" w:rsidP="00430A30">
            <w:pPr>
              <w:jc w:val="both"/>
              <w:rPr>
                <w:sz w:val="20"/>
              </w:rPr>
            </w:pPr>
          </w:p>
          <w:p w:rsidR="00916ADC" w:rsidRDefault="00916ADC" w:rsidP="00916ADC">
            <w:pPr>
              <w:rPr>
                <w:sz w:val="20"/>
              </w:rPr>
            </w:pPr>
            <w:r>
              <w:rPr>
                <w:sz w:val="20"/>
              </w:rPr>
              <w:t xml:space="preserve">BesGr. </w:t>
            </w:r>
            <w:r w:rsidRPr="004764D5">
              <w:rPr>
                <w:sz w:val="20"/>
              </w:rPr>
              <w:t xml:space="preserve">A </w:t>
            </w:r>
            <w:r>
              <w:rPr>
                <w:sz w:val="20"/>
              </w:rPr>
              <w:t>9</w:t>
            </w:r>
          </w:p>
          <w:p w:rsidR="00916ADC" w:rsidRDefault="00916ADC" w:rsidP="00916ADC">
            <w:pPr>
              <w:rPr>
                <w:sz w:val="20"/>
              </w:rPr>
            </w:pPr>
          </w:p>
          <w:p w:rsidR="00916ADC" w:rsidRDefault="00916ADC" w:rsidP="00916ADC">
            <w:pPr>
              <w:rPr>
                <w:sz w:val="20"/>
              </w:rPr>
            </w:pPr>
            <w:r>
              <w:rPr>
                <w:sz w:val="20"/>
              </w:rPr>
              <w:t xml:space="preserve">BesGr. </w:t>
            </w:r>
            <w:r w:rsidRPr="004764D5">
              <w:rPr>
                <w:sz w:val="20"/>
              </w:rPr>
              <w:t xml:space="preserve">A </w:t>
            </w:r>
            <w:r>
              <w:rPr>
                <w:sz w:val="20"/>
              </w:rPr>
              <w:t>8</w:t>
            </w:r>
          </w:p>
          <w:p w:rsidR="00430A30" w:rsidRPr="005460B3" w:rsidRDefault="00430A30" w:rsidP="00916ADC">
            <w:pPr>
              <w:jc w:val="both"/>
              <w:rPr>
                <w:sz w:val="18"/>
                <w:szCs w:val="18"/>
              </w:rPr>
            </w:pPr>
          </w:p>
        </w:tc>
        <w:tc>
          <w:tcPr>
            <w:tcW w:w="1417" w:type="dxa"/>
          </w:tcPr>
          <w:p w:rsidR="00430A30" w:rsidRDefault="00430A30" w:rsidP="00430A30">
            <w:pPr>
              <w:jc w:val="both"/>
              <w:rPr>
                <w:sz w:val="20"/>
              </w:rPr>
            </w:pPr>
          </w:p>
          <w:p w:rsidR="00430A30" w:rsidRDefault="00430A30" w:rsidP="00430A30">
            <w:pPr>
              <w:jc w:val="both"/>
              <w:rPr>
                <w:sz w:val="20"/>
              </w:rPr>
            </w:pPr>
          </w:p>
          <w:p w:rsidR="00430A30" w:rsidRDefault="00430A30" w:rsidP="00430A30">
            <w:pPr>
              <w:rPr>
                <w:sz w:val="20"/>
              </w:rPr>
            </w:pPr>
            <w:r>
              <w:rPr>
                <w:sz w:val="20"/>
              </w:rPr>
              <w:t>Erster HBM</w:t>
            </w:r>
          </w:p>
          <w:p w:rsidR="00430A30" w:rsidRDefault="00430A30" w:rsidP="00430A30">
            <w:pPr>
              <w:jc w:val="both"/>
              <w:rPr>
                <w:sz w:val="20"/>
              </w:rPr>
            </w:pPr>
          </w:p>
          <w:p w:rsidR="00916ADC" w:rsidRDefault="00916ADC" w:rsidP="00916ADC">
            <w:pPr>
              <w:rPr>
                <w:sz w:val="20"/>
              </w:rPr>
            </w:pPr>
            <w:r>
              <w:rPr>
                <w:sz w:val="20"/>
              </w:rPr>
              <w:t>HBM</w:t>
            </w:r>
          </w:p>
          <w:p w:rsidR="00916ADC" w:rsidRDefault="00916ADC" w:rsidP="00916ADC">
            <w:pPr>
              <w:rPr>
                <w:sz w:val="20"/>
              </w:rPr>
            </w:pPr>
          </w:p>
          <w:p w:rsidR="00916ADC" w:rsidRDefault="00916ADC" w:rsidP="00916ADC">
            <w:pPr>
              <w:rPr>
                <w:sz w:val="20"/>
              </w:rPr>
            </w:pPr>
            <w:r>
              <w:rPr>
                <w:sz w:val="20"/>
              </w:rPr>
              <w:t>OBM</w:t>
            </w:r>
          </w:p>
          <w:p w:rsidR="00430A30" w:rsidRPr="005460B3" w:rsidRDefault="00430A30" w:rsidP="00430A30">
            <w:pPr>
              <w:jc w:val="both"/>
              <w:rPr>
                <w:sz w:val="18"/>
                <w:szCs w:val="18"/>
              </w:rPr>
            </w:pPr>
          </w:p>
        </w:tc>
        <w:tc>
          <w:tcPr>
            <w:tcW w:w="709" w:type="dxa"/>
            <w:shd w:val="pct12" w:color="auto" w:fill="FFFFFF"/>
          </w:tcPr>
          <w:p w:rsidR="00430A30" w:rsidRDefault="00430A30" w:rsidP="00430A30">
            <w:pPr>
              <w:jc w:val="both"/>
              <w:rPr>
                <w:sz w:val="20"/>
              </w:rPr>
            </w:pPr>
          </w:p>
          <w:p w:rsidR="00430A30" w:rsidRDefault="00430A30" w:rsidP="00430A30">
            <w:pPr>
              <w:jc w:val="both"/>
              <w:rPr>
                <w:sz w:val="20"/>
              </w:rPr>
            </w:pPr>
          </w:p>
          <w:p w:rsidR="00430A30" w:rsidRDefault="00430A30" w:rsidP="00430A30">
            <w:pPr>
              <w:jc w:val="both"/>
              <w:rPr>
                <w:sz w:val="20"/>
              </w:rPr>
            </w:pPr>
            <w:r>
              <w:rPr>
                <w:sz w:val="20"/>
              </w:rPr>
              <w:t>10,0</w:t>
            </w:r>
          </w:p>
          <w:p w:rsidR="00430A30" w:rsidRDefault="00430A30" w:rsidP="00430A30">
            <w:pPr>
              <w:jc w:val="both"/>
              <w:rPr>
                <w:sz w:val="20"/>
              </w:rPr>
            </w:pPr>
          </w:p>
          <w:p w:rsidR="00916ADC" w:rsidRDefault="00C74573" w:rsidP="00430A30">
            <w:pPr>
              <w:jc w:val="both"/>
              <w:rPr>
                <w:sz w:val="20"/>
              </w:rPr>
            </w:pPr>
            <w:r>
              <w:rPr>
                <w:sz w:val="20"/>
              </w:rPr>
              <w:t>6</w:t>
            </w:r>
            <w:r w:rsidR="00916ADC">
              <w:rPr>
                <w:sz w:val="20"/>
              </w:rPr>
              <w:t>,0</w:t>
            </w:r>
          </w:p>
          <w:p w:rsidR="00916ADC" w:rsidRDefault="00916ADC" w:rsidP="00430A30">
            <w:pPr>
              <w:jc w:val="both"/>
              <w:rPr>
                <w:sz w:val="20"/>
              </w:rPr>
            </w:pPr>
          </w:p>
          <w:p w:rsidR="00916ADC" w:rsidRDefault="00C74573" w:rsidP="00430A30">
            <w:pPr>
              <w:jc w:val="both"/>
              <w:rPr>
                <w:sz w:val="20"/>
              </w:rPr>
            </w:pPr>
            <w:r>
              <w:rPr>
                <w:sz w:val="20"/>
              </w:rPr>
              <w:t>4</w:t>
            </w:r>
            <w:r w:rsidR="00916ADC">
              <w:rPr>
                <w:sz w:val="20"/>
              </w:rPr>
              <w:t>,0</w:t>
            </w:r>
          </w:p>
          <w:p w:rsidR="00430A30" w:rsidRPr="006E0575" w:rsidRDefault="00430A30" w:rsidP="00430A30">
            <w:pPr>
              <w:jc w:val="both"/>
              <w:rPr>
                <w:sz w:val="20"/>
              </w:rPr>
            </w:pPr>
          </w:p>
        </w:tc>
        <w:tc>
          <w:tcPr>
            <w:tcW w:w="860" w:type="dxa"/>
          </w:tcPr>
          <w:p w:rsidR="00430A30" w:rsidRDefault="00430A30" w:rsidP="00430A30">
            <w:pPr>
              <w:jc w:val="both"/>
              <w:rPr>
                <w:sz w:val="20"/>
              </w:rPr>
            </w:pPr>
          </w:p>
          <w:p w:rsidR="00430A30" w:rsidRPr="006E0575" w:rsidRDefault="00430A30" w:rsidP="00430A30">
            <w:pPr>
              <w:jc w:val="both"/>
              <w:rPr>
                <w:sz w:val="20"/>
              </w:rPr>
            </w:pPr>
          </w:p>
        </w:tc>
        <w:tc>
          <w:tcPr>
            <w:tcW w:w="1588" w:type="dxa"/>
          </w:tcPr>
          <w:p w:rsidR="00430A30" w:rsidRDefault="00430A30" w:rsidP="00430A30">
            <w:pPr>
              <w:jc w:val="both"/>
              <w:rPr>
                <w:sz w:val="20"/>
              </w:rPr>
            </w:pPr>
          </w:p>
          <w:p w:rsidR="00D142FB" w:rsidRDefault="00D142FB" w:rsidP="00430A30">
            <w:pPr>
              <w:jc w:val="both"/>
              <w:rPr>
                <w:sz w:val="20"/>
              </w:rPr>
            </w:pPr>
          </w:p>
          <w:p w:rsidR="00D142FB" w:rsidRDefault="00D142FB" w:rsidP="00430A30">
            <w:pPr>
              <w:jc w:val="both"/>
              <w:rPr>
                <w:sz w:val="20"/>
              </w:rPr>
            </w:pPr>
            <w:r>
              <w:rPr>
                <w:sz w:val="20"/>
              </w:rPr>
              <w:t>1.083.000</w:t>
            </w:r>
          </w:p>
          <w:p w:rsidR="00D142FB" w:rsidRDefault="00D142FB" w:rsidP="00430A30">
            <w:pPr>
              <w:jc w:val="both"/>
              <w:rPr>
                <w:sz w:val="20"/>
              </w:rPr>
            </w:pPr>
          </w:p>
          <w:p w:rsidR="00D142FB" w:rsidRDefault="00D142FB" w:rsidP="00430A30">
            <w:pPr>
              <w:jc w:val="both"/>
              <w:rPr>
                <w:sz w:val="20"/>
              </w:rPr>
            </w:pPr>
            <w:r>
              <w:rPr>
                <w:sz w:val="20"/>
              </w:rPr>
              <w:t>604.200</w:t>
            </w:r>
          </w:p>
          <w:p w:rsidR="00D142FB" w:rsidRDefault="00D142FB" w:rsidP="00430A30">
            <w:pPr>
              <w:jc w:val="both"/>
              <w:rPr>
                <w:sz w:val="20"/>
              </w:rPr>
            </w:pPr>
          </w:p>
          <w:p w:rsidR="00D142FB" w:rsidRPr="006E0575" w:rsidRDefault="00D142FB" w:rsidP="00430A30">
            <w:pPr>
              <w:jc w:val="both"/>
              <w:rPr>
                <w:sz w:val="20"/>
              </w:rPr>
            </w:pPr>
            <w:r>
              <w:rPr>
                <w:sz w:val="20"/>
              </w:rPr>
              <w:t>348.000</w:t>
            </w:r>
          </w:p>
        </w:tc>
      </w:tr>
    </w:tbl>
    <w:p w:rsidR="003D7B0B" w:rsidRPr="00884D6C" w:rsidRDefault="006E0575" w:rsidP="00E765D0">
      <w:pPr>
        <w:pStyle w:val="berschrift1"/>
        <w:jc w:val="both"/>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430A30" w:rsidRDefault="00430A30" w:rsidP="00430A30"/>
    <w:p w:rsidR="00430A30" w:rsidRDefault="00430A30" w:rsidP="00430A30">
      <w:r>
        <w:t>Entsprechend der GRDrs. 7/2022 Fortschreibung des Feuerwehrbedarfsplans 2021 und des damit verbundenen Maßnahmenkatalogs wird der Schaffung der o.</w:t>
      </w:r>
      <w:r w:rsidR="00D142FB">
        <w:t xml:space="preserve"> </w:t>
      </w:r>
      <w:r>
        <w:t>g. Stellen in der Abteilung Einsatz (37-2) bei der Branddirektion zugestimmt.</w:t>
      </w:r>
    </w:p>
    <w:p w:rsidR="00430A30" w:rsidRDefault="00430A30" w:rsidP="00430A30">
      <w:pPr>
        <w:pStyle w:val="berschrift1"/>
      </w:pPr>
      <w:r>
        <w:t>2</w:t>
      </w:r>
      <w:r>
        <w:tab/>
        <w:t>Schaffun</w:t>
      </w:r>
      <w:r w:rsidRPr="00884D6C">
        <w:rPr>
          <w:u w:val="none"/>
        </w:rPr>
        <w:t>g</w:t>
      </w:r>
      <w:r>
        <w:t>skriterien</w:t>
      </w:r>
    </w:p>
    <w:p w:rsidR="00430A30" w:rsidRDefault="00430A30" w:rsidP="00430A30"/>
    <w:p w:rsidR="00430A30" w:rsidRDefault="00430A30" w:rsidP="00430A30">
      <w:r>
        <w:t>Auf die ausführliche Begründung in der v.</w:t>
      </w:r>
      <w:r w:rsidR="00D142FB">
        <w:t xml:space="preserve"> </w:t>
      </w:r>
      <w:r>
        <w:t>g. GRDrs. wird Bezug genommen.</w:t>
      </w:r>
    </w:p>
    <w:p w:rsidR="003D7B0B" w:rsidRDefault="003D7B0B" w:rsidP="00E765D0">
      <w:pPr>
        <w:pStyle w:val="berschrift1"/>
        <w:jc w:val="both"/>
      </w:pPr>
      <w:r>
        <w:t>3</w:t>
      </w:r>
      <w:r>
        <w:tab/>
        <w:t>Bedarf</w:t>
      </w:r>
    </w:p>
    <w:p w:rsidR="006E0575" w:rsidRDefault="006E0575" w:rsidP="00E765D0">
      <w:pPr>
        <w:jc w:val="both"/>
      </w:pPr>
    </w:p>
    <w:p w:rsidR="00430A30" w:rsidRDefault="00430A30" w:rsidP="00430A30">
      <w:pPr>
        <w:jc w:val="both"/>
        <w:rPr>
          <w:color w:val="000000"/>
        </w:rPr>
      </w:pPr>
      <w:r w:rsidRPr="00E0262A">
        <w:rPr>
          <w:color w:val="000000"/>
        </w:rPr>
        <w:t xml:space="preserve">Im Einsatzdienst der </w:t>
      </w:r>
      <w:r>
        <w:rPr>
          <w:color w:val="000000"/>
        </w:rPr>
        <w:t xml:space="preserve">Feuerwachen der </w:t>
      </w:r>
      <w:r w:rsidRPr="00E0262A">
        <w:rPr>
          <w:color w:val="000000"/>
        </w:rPr>
        <w:t xml:space="preserve">Branddirektion Stuttgart basiert die personalwirtschaftliche Berechnung </w:t>
      </w:r>
      <w:r w:rsidR="008C6F8A">
        <w:rPr>
          <w:color w:val="000000"/>
        </w:rPr>
        <w:t xml:space="preserve">bisher </w:t>
      </w:r>
      <w:r w:rsidRPr="00E0262A">
        <w:rPr>
          <w:color w:val="000000"/>
        </w:rPr>
        <w:t>auf einer Wochenarbeitszeit von 50 Stunden. Gemäß EU-ArbZ-RL ist die höchstzulässige Wochenarbeitszeit</w:t>
      </w:r>
      <w:r>
        <w:rPr>
          <w:color w:val="000000"/>
        </w:rPr>
        <w:t xml:space="preserve"> jedoch auf 48 Stunden be</w:t>
      </w:r>
      <w:r w:rsidRPr="00E0262A">
        <w:rPr>
          <w:color w:val="000000"/>
        </w:rPr>
        <w:t xml:space="preserve">grenzt. </w:t>
      </w:r>
      <w:r w:rsidR="00D142FB">
        <w:rPr>
          <w:color w:val="000000"/>
        </w:rPr>
        <w:t>Die Beamten/-</w:t>
      </w:r>
      <w:r>
        <w:rPr>
          <w:color w:val="000000"/>
        </w:rPr>
        <w:t xml:space="preserve">innen </w:t>
      </w:r>
      <w:r w:rsidRPr="00E0262A">
        <w:rPr>
          <w:color w:val="000000"/>
        </w:rPr>
        <w:t>können sich jedoch unter echter Freiwilligkeit</w:t>
      </w:r>
      <w:r>
        <w:rPr>
          <w:color w:val="000000"/>
        </w:rPr>
        <w:t xml:space="preserve"> </w:t>
      </w:r>
      <w:r w:rsidRPr="00E0262A">
        <w:rPr>
          <w:color w:val="000000"/>
        </w:rPr>
        <w:t>zur Leistung einer höheren Wochenarbeitszeit bereiterklären (optionale Befreiung aus der Schutzvorschrift</w:t>
      </w:r>
      <w:r>
        <w:rPr>
          <w:color w:val="000000"/>
        </w:rPr>
        <w:t xml:space="preserve"> </w:t>
      </w:r>
      <w:r w:rsidRPr="00E0262A">
        <w:rPr>
          <w:color w:val="000000"/>
        </w:rPr>
        <w:t>= „Opting-Out“).</w:t>
      </w:r>
    </w:p>
    <w:p w:rsidR="00430A30" w:rsidRDefault="00430A30" w:rsidP="00430A30">
      <w:pPr>
        <w:jc w:val="both"/>
        <w:rPr>
          <w:color w:val="000000"/>
        </w:rPr>
      </w:pPr>
    </w:p>
    <w:p w:rsidR="00430A30" w:rsidRDefault="00430A30" w:rsidP="00430A30">
      <w:pPr>
        <w:jc w:val="both"/>
        <w:rPr>
          <w:color w:val="000000"/>
        </w:rPr>
      </w:pPr>
      <w:r>
        <w:rPr>
          <w:color w:val="000000"/>
        </w:rPr>
        <w:t xml:space="preserve">Entsprechend der Beschlussfassung des Gemeinderats vom 06.12.2007 (GRDrs. 887/2007) </w:t>
      </w:r>
      <w:r w:rsidRPr="00E0262A">
        <w:rPr>
          <w:color w:val="000000"/>
        </w:rPr>
        <w:t>wurd</w:t>
      </w:r>
      <w:r>
        <w:rPr>
          <w:color w:val="000000"/>
        </w:rPr>
        <w:t>en d</w:t>
      </w:r>
      <w:r w:rsidRPr="00E0262A">
        <w:rPr>
          <w:color w:val="000000"/>
        </w:rPr>
        <w:t>iese „Opt</w:t>
      </w:r>
      <w:r w:rsidR="00340F24">
        <w:rPr>
          <w:color w:val="000000"/>
        </w:rPr>
        <w:t>ing</w:t>
      </w:r>
      <w:r w:rsidRPr="00E0262A">
        <w:rPr>
          <w:color w:val="000000"/>
        </w:rPr>
        <w:t xml:space="preserve">-Out“-Erklärungen </w:t>
      </w:r>
      <w:r>
        <w:rPr>
          <w:color w:val="000000"/>
        </w:rPr>
        <w:t>durch die betroffenen Beamt</w:t>
      </w:r>
      <w:r w:rsidR="00D142FB">
        <w:rPr>
          <w:color w:val="000000"/>
        </w:rPr>
        <w:t>en/-</w:t>
      </w:r>
      <w:r>
        <w:rPr>
          <w:color w:val="000000"/>
        </w:rPr>
        <w:t>innen der Feuerwachen abgegeben und folglich hat dieses Modell seit dem 01.01.2008 bei der Berufsfeuerwehr in Stuttgart bis heute Bestand. Es bestand über viele Jahre Einigkeit zwischen den Referaten WFB, AKR und SOS, dass dies eine Win-win-Situation für die Belegschaft und die Stadtverwaltung ist und als Erfolgsmodell möglichst fortgeführt werden soll.</w:t>
      </w:r>
    </w:p>
    <w:p w:rsidR="00430A30" w:rsidRPr="00E0262A" w:rsidRDefault="00430A30" w:rsidP="00430A30">
      <w:pPr>
        <w:jc w:val="both"/>
        <w:rPr>
          <w:color w:val="000000"/>
        </w:rPr>
      </w:pPr>
    </w:p>
    <w:p w:rsidR="008C6F8A" w:rsidRDefault="008C6F8A" w:rsidP="00430A30">
      <w:pPr>
        <w:jc w:val="both"/>
      </w:pPr>
    </w:p>
    <w:p w:rsidR="00430A30" w:rsidRDefault="008C6F8A" w:rsidP="00E20D34">
      <w:pPr>
        <w:jc w:val="both"/>
        <w:rPr>
          <w:color w:val="000000"/>
        </w:rPr>
      </w:pPr>
      <w:r>
        <w:lastRenderedPageBreak/>
        <w:t xml:space="preserve">Im Rahmen der </w:t>
      </w:r>
      <w:r w:rsidRPr="001048BD">
        <w:t xml:space="preserve">Fortschreibung des Feuerwehrbedarfsplans </w:t>
      </w:r>
      <w:r>
        <w:t>2021 wurde das dargestellte Vorgehen d</w:t>
      </w:r>
      <w:r w:rsidRPr="001048BD">
        <w:t xml:space="preserve">urch den externen Gutachter </w:t>
      </w:r>
      <w:r>
        <w:t xml:space="preserve">sowohl arbeits- als auch haftungsrechtlich als äußerst kritisch eingestuft. Mit </w:t>
      </w:r>
      <w:r w:rsidRPr="001048BD">
        <w:t xml:space="preserve">GRDrs. 7/2022 </w:t>
      </w:r>
      <w:r>
        <w:t>Fortschreibung des Feuerwehrbedarfsplans 2021 wurde daher aus organisatorischen Gründen und zur Vermeidung von Rechtsrisiken eine Abkehr von den Opt</w:t>
      </w:r>
      <w:r w:rsidR="00340F24">
        <w:t>ing</w:t>
      </w:r>
      <w:r>
        <w:t>-Out</w:t>
      </w:r>
      <w:r w:rsidR="00E20D34">
        <w:t xml:space="preserve">-Vereinbarungen und somit eine Veränderung der Wochenarbeitszeit von 50 auf 48 Wochenstunden empfohlen. </w:t>
      </w:r>
      <w:r w:rsidR="00430A30" w:rsidRPr="00E0262A">
        <w:rPr>
          <w:color w:val="000000"/>
        </w:rPr>
        <w:t>Hiermit geht ein Personalmehrbedarf im Umfang von 20</w:t>
      </w:r>
      <w:r w:rsidR="00430A30">
        <w:rPr>
          <w:color w:val="000000"/>
        </w:rPr>
        <w:t>,0</w:t>
      </w:r>
      <w:r w:rsidR="00430A30" w:rsidRPr="00E0262A">
        <w:rPr>
          <w:color w:val="000000"/>
        </w:rPr>
        <w:t xml:space="preserve"> </w:t>
      </w:r>
      <w:r w:rsidR="00430A30">
        <w:rPr>
          <w:color w:val="000000"/>
        </w:rPr>
        <w:t>Stellen</w:t>
      </w:r>
      <w:r w:rsidR="00430A30" w:rsidRPr="00E0262A">
        <w:rPr>
          <w:color w:val="000000"/>
        </w:rPr>
        <w:t xml:space="preserve"> im</w:t>
      </w:r>
      <w:r w:rsidR="00430A30">
        <w:rPr>
          <w:color w:val="000000"/>
        </w:rPr>
        <w:t xml:space="preserve"> </w:t>
      </w:r>
      <w:r w:rsidR="00430A30" w:rsidRPr="00E0262A">
        <w:rPr>
          <w:color w:val="000000"/>
        </w:rPr>
        <w:t>mittleren feu</w:t>
      </w:r>
      <w:r w:rsidR="00430A30">
        <w:rPr>
          <w:color w:val="000000"/>
        </w:rPr>
        <w:t xml:space="preserve">erwehrtechnischen Dienst einher. </w:t>
      </w:r>
    </w:p>
    <w:p w:rsidR="00430A30" w:rsidRDefault="00430A30" w:rsidP="00430A30">
      <w:pPr>
        <w:jc w:val="both"/>
        <w:rPr>
          <w:color w:val="000000"/>
        </w:rPr>
      </w:pPr>
    </w:p>
    <w:p w:rsidR="00E20D34" w:rsidRDefault="00430A30" w:rsidP="00430A30">
      <w:pPr>
        <w:jc w:val="both"/>
        <w:rPr>
          <w:color w:val="000000"/>
        </w:rPr>
      </w:pPr>
      <w:r w:rsidRPr="00974F32">
        <w:rPr>
          <w:color w:val="000000"/>
        </w:rPr>
        <w:t xml:space="preserve">Das </w:t>
      </w:r>
      <w:r w:rsidR="00340F24">
        <w:rPr>
          <w:color w:val="000000"/>
        </w:rPr>
        <w:t>zur Abkehr von Opting-O</w:t>
      </w:r>
      <w:r>
        <w:rPr>
          <w:color w:val="000000"/>
        </w:rPr>
        <w:t xml:space="preserve">ut zusätzlich </w:t>
      </w:r>
      <w:r w:rsidRPr="00974F32">
        <w:rPr>
          <w:color w:val="000000"/>
        </w:rPr>
        <w:t xml:space="preserve">notwendige Personal </w:t>
      </w:r>
      <w:r w:rsidR="00D142FB">
        <w:rPr>
          <w:color w:val="000000"/>
        </w:rPr>
        <w:t>von 20 Beamten/-</w:t>
      </w:r>
      <w:r>
        <w:rPr>
          <w:color w:val="000000"/>
        </w:rPr>
        <w:t xml:space="preserve">innen des mittleren feuerwehrtechnischen Dienstes </w:t>
      </w:r>
      <w:r w:rsidRPr="00974F32">
        <w:rPr>
          <w:color w:val="000000"/>
        </w:rPr>
        <w:t xml:space="preserve">muss </w:t>
      </w:r>
      <w:r>
        <w:rPr>
          <w:color w:val="000000"/>
        </w:rPr>
        <w:t xml:space="preserve">weitestgehend selbst durch die Branddirektion ausgebildet werden, da auf dem freien Stellenmarkt </w:t>
      </w:r>
      <w:r w:rsidRPr="00974F32">
        <w:rPr>
          <w:color w:val="000000"/>
        </w:rPr>
        <w:t>nahezu keine qualifizierten und/oder geeigneten Bewerber</w:t>
      </w:r>
      <w:r w:rsidR="00D142FB">
        <w:rPr>
          <w:color w:val="000000"/>
        </w:rPr>
        <w:t>/-</w:t>
      </w:r>
      <w:r>
        <w:rPr>
          <w:color w:val="000000"/>
        </w:rPr>
        <w:t>innen</w:t>
      </w:r>
      <w:r w:rsidRPr="00974F32">
        <w:rPr>
          <w:color w:val="000000"/>
        </w:rPr>
        <w:t xml:space="preserve"> generiert werden können</w:t>
      </w:r>
      <w:r>
        <w:rPr>
          <w:color w:val="000000"/>
        </w:rPr>
        <w:t xml:space="preserve">. </w:t>
      </w:r>
      <w:r w:rsidRPr="00974F32">
        <w:rPr>
          <w:color w:val="000000"/>
        </w:rPr>
        <w:t xml:space="preserve">Entsprechend sind </w:t>
      </w:r>
      <w:r>
        <w:rPr>
          <w:color w:val="000000"/>
        </w:rPr>
        <w:t>mit erheblichem V</w:t>
      </w:r>
      <w:r w:rsidRPr="00974F32">
        <w:rPr>
          <w:color w:val="000000"/>
        </w:rPr>
        <w:t>orlauf hierzu Personalauswahlverfahren und Ausbildungslehrgänge zeitlich einzuplanen</w:t>
      </w:r>
      <w:r w:rsidR="00E20D34">
        <w:rPr>
          <w:color w:val="000000"/>
        </w:rPr>
        <w:t xml:space="preserve">. </w:t>
      </w:r>
    </w:p>
    <w:p w:rsidR="00E20D34" w:rsidRDefault="00E20D34" w:rsidP="00430A30">
      <w:pPr>
        <w:jc w:val="both"/>
        <w:rPr>
          <w:color w:val="000000"/>
        </w:rPr>
      </w:pPr>
    </w:p>
    <w:p w:rsidR="00430A30" w:rsidRPr="00974F32" w:rsidRDefault="00430A30" w:rsidP="00430A30">
      <w:pPr>
        <w:jc w:val="both"/>
        <w:rPr>
          <w:color w:val="000000"/>
        </w:rPr>
      </w:pPr>
      <w:r w:rsidRPr="00974F32">
        <w:rPr>
          <w:color w:val="000000"/>
        </w:rPr>
        <w:t xml:space="preserve">Das </w:t>
      </w:r>
      <w:r>
        <w:rPr>
          <w:color w:val="000000"/>
        </w:rPr>
        <w:t xml:space="preserve">nächste somit beeinflussbare </w:t>
      </w:r>
      <w:r w:rsidRPr="00974F32">
        <w:rPr>
          <w:color w:val="000000"/>
        </w:rPr>
        <w:t>Personalauswahl</w:t>
      </w:r>
      <w:r>
        <w:rPr>
          <w:color w:val="000000"/>
        </w:rPr>
        <w:t>verfahren, mit welchem die für die Abkehr von Opting-</w:t>
      </w:r>
      <w:r w:rsidR="00340F24">
        <w:rPr>
          <w:color w:val="000000"/>
        </w:rPr>
        <w:t>O</w:t>
      </w:r>
      <w:r>
        <w:rPr>
          <w:color w:val="000000"/>
        </w:rPr>
        <w:t>ut zusätzlich erforderlichen 20 Beamt</w:t>
      </w:r>
      <w:r w:rsidR="00D142FB">
        <w:rPr>
          <w:color w:val="000000"/>
        </w:rPr>
        <w:t>en/-</w:t>
      </w:r>
      <w:r>
        <w:rPr>
          <w:color w:val="000000"/>
        </w:rPr>
        <w:t>innenanwärter eingestellt werden könnten, beginnt im Januar 2024</w:t>
      </w:r>
      <w:r w:rsidRPr="00974F32">
        <w:rPr>
          <w:color w:val="000000"/>
        </w:rPr>
        <w:t>. Zusagen</w:t>
      </w:r>
      <w:r>
        <w:rPr>
          <w:color w:val="000000"/>
        </w:rPr>
        <w:t xml:space="preserve"> hierzu werden im September 2024</w:t>
      </w:r>
      <w:r w:rsidRPr="00974F32">
        <w:rPr>
          <w:color w:val="000000"/>
        </w:rPr>
        <w:t xml:space="preserve"> ge</w:t>
      </w:r>
      <w:r>
        <w:rPr>
          <w:color w:val="000000"/>
        </w:rPr>
        <w:t>troffen, damit Interessent</w:t>
      </w:r>
      <w:r w:rsidR="00D142FB">
        <w:rPr>
          <w:color w:val="000000"/>
        </w:rPr>
        <w:t>en/-</w:t>
      </w:r>
      <w:r w:rsidRPr="00974F32">
        <w:rPr>
          <w:color w:val="000000"/>
        </w:rPr>
        <w:t>innen mit dem A</w:t>
      </w:r>
      <w:r>
        <w:rPr>
          <w:color w:val="000000"/>
        </w:rPr>
        <w:t>usbildungslehrgang im April 2025</w:t>
      </w:r>
      <w:r w:rsidRPr="00974F32">
        <w:rPr>
          <w:color w:val="000000"/>
        </w:rPr>
        <w:t xml:space="preserve"> beginnen können. Hierfür sind </w:t>
      </w:r>
      <w:r>
        <w:rPr>
          <w:color w:val="000000"/>
        </w:rPr>
        <w:t xml:space="preserve">20 </w:t>
      </w:r>
      <w:r w:rsidRPr="00974F32">
        <w:rPr>
          <w:color w:val="000000"/>
        </w:rPr>
        <w:t xml:space="preserve">Stellen, entsprechend dem Feuerwehrbedarfsplan, </w:t>
      </w:r>
      <w:r>
        <w:rPr>
          <w:color w:val="000000"/>
        </w:rPr>
        <w:t xml:space="preserve">welche dort zunächst für die Jahre 2027 bis 2030 vorgesehen waren, nun bereits im Stellenplan 2024 </w:t>
      </w:r>
      <w:r w:rsidRPr="00974F32">
        <w:rPr>
          <w:color w:val="000000"/>
        </w:rPr>
        <w:t>zur Verfügung zu stellen.</w:t>
      </w:r>
      <w:r>
        <w:rPr>
          <w:color w:val="000000"/>
        </w:rPr>
        <w:t xml:space="preserve"> Wenn die Einstellung und Ausbildung entsprechend gelingt</w:t>
      </w:r>
      <w:r w:rsidR="00E20D34">
        <w:rPr>
          <w:color w:val="000000"/>
        </w:rPr>
        <w:t>,</w:t>
      </w:r>
      <w:r w:rsidR="00340F24">
        <w:rPr>
          <w:color w:val="000000"/>
        </w:rPr>
        <w:t xml:space="preserve"> kann Opting-O</w:t>
      </w:r>
      <w:r>
        <w:rPr>
          <w:color w:val="000000"/>
        </w:rPr>
        <w:t>ut ab dem Dienstplanwechsel zum 01.01.2027 entfallen, da der Personalkörper als Kompensation für die bisherigen Mehrarbeitsstunden entsprechend aufgewachsen ist.</w:t>
      </w:r>
    </w:p>
    <w:p w:rsidR="003D7B0B" w:rsidRDefault="00884D6C" w:rsidP="00E765D0">
      <w:pPr>
        <w:pStyle w:val="berschrift1"/>
        <w:jc w:val="both"/>
      </w:pPr>
      <w:r>
        <w:t>4</w:t>
      </w:r>
      <w:r>
        <w:tab/>
      </w:r>
      <w:r w:rsidR="003D7B0B">
        <w:t>Stellenvermerke</w:t>
      </w:r>
    </w:p>
    <w:p w:rsidR="003D7B0B" w:rsidRDefault="003D7B0B" w:rsidP="00E765D0">
      <w:pPr>
        <w:jc w:val="both"/>
      </w:pPr>
    </w:p>
    <w:p w:rsidR="00BE767C" w:rsidRDefault="00D142FB" w:rsidP="00E765D0">
      <w:pPr>
        <w:jc w:val="both"/>
      </w:pPr>
      <w:r>
        <w:t>-</w:t>
      </w:r>
    </w:p>
    <w:sectPr w:rsidR="00BE767C"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E6F" w:rsidRDefault="000A3E6F">
      <w:r>
        <w:separator/>
      </w:r>
    </w:p>
  </w:endnote>
  <w:endnote w:type="continuationSeparator" w:id="0">
    <w:p w:rsidR="000A3E6F" w:rsidRDefault="000A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E6F" w:rsidRDefault="000A3E6F">
      <w:r>
        <w:separator/>
      </w:r>
    </w:p>
  </w:footnote>
  <w:footnote w:type="continuationSeparator" w:id="0">
    <w:p w:rsidR="000A3E6F" w:rsidRDefault="000A3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142F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56953AF"/>
    <w:multiLevelType w:val="hybridMultilevel"/>
    <w:tmpl w:val="EE528562"/>
    <w:lvl w:ilvl="0" w:tplc="04070001">
      <w:start w:val="2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6F"/>
    <w:rsid w:val="00026253"/>
    <w:rsid w:val="00055758"/>
    <w:rsid w:val="00061F0B"/>
    <w:rsid w:val="000A1146"/>
    <w:rsid w:val="000A3E6F"/>
    <w:rsid w:val="000A6C0B"/>
    <w:rsid w:val="00101BAF"/>
    <w:rsid w:val="001034AF"/>
    <w:rsid w:val="001048BD"/>
    <w:rsid w:val="0011112B"/>
    <w:rsid w:val="0014415D"/>
    <w:rsid w:val="00151488"/>
    <w:rsid w:val="00153F53"/>
    <w:rsid w:val="00163034"/>
    <w:rsid w:val="00164678"/>
    <w:rsid w:val="00165C0D"/>
    <w:rsid w:val="00181857"/>
    <w:rsid w:val="00184EDC"/>
    <w:rsid w:val="00194770"/>
    <w:rsid w:val="001A5F9B"/>
    <w:rsid w:val="001C11A3"/>
    <w:rsid w:val="001F7237"/>
    <w:rsid w:val="002073A2"/>
    <w:rsid w:val="00214057"/>
    <w:rsid w:val="00232ECB"/>
    <w:rsid w:val="002924CB"/>
    <w:rsid w:val="002A20D1"/>
    <w:rsid w:val="002A4DE3"/>
    <w:rsid w:val="002B5955"/>
    <w:rsid w:val="002E59A6"/>
    <w:rsid w:val="0030686C"/>
    <w:rsid w:val="00340F24"/>
    <w:rsid w:val="00380937"/>
    <w:rsid w:val="003976DB"/>
    <w:rsid w:val="00397717"/>
    <w:rsid w:val="003A2EC5"/>
    <w:rsid w:val="003D7B0B"/>
    <w:rsid w:val="003E0F4B"/>
    <w:rsid w:val="003F0FAA"/>
    <w:rsid w:val="00430A30"/>
    <w:rsid w:val="00445B4C"/>
    <w:rsid w:val="00450EE4"/>
    <w:rsid w:val="00463324"/>
    <w:rsid w:val="00470135"/>
    <w:rsid w:val="0047606A"/>
    <w:rsid w:val="004908B5"/>
    <w:rsid w:val="0049121B"/>
    <w:rsid w:val="00496396"/>
    <w:rsid w:val="004A1688"/>
    <w:rsid w:val="004B5689"/>
    <w:rsid w:val="004B6796"/>
    <w:rsid w:val="00500E77"/>
    <w:rsid w:val="005460B3"/>
    <w:rsid w:val="005A0A9D"/>
    <w:rsid w:val="005A56AA"/>
    <w:rsid w:val="005E19C6"/>
    <w:rsid w:val="005F5B3D"/>
    <w:rsid w:val="00606F80"/>
    <w:rsid w:val="00622CC7"/>
    <w:rsid w:val="006A406B"/>
    <w:rsid w:val="006B12A8"/>
    <w:rsid w:val="006B6D50"/>
    <w:rsid w:val="006E0575"/>
    <w:rsid w:val="0072799A"/>
    <w:rsid w:val="00754659"/>
    <w:rsid w:val="007E3B79"/>
    <w:rsid w:val="007F7C09"/>
    <w:rsid w:val="008066EE"/>
    <w:rsid w:val="00816690"/>
    <w:rsid w:val="00817BB6"/>
    <w:rsid w:val="00876AF9"/>
    <w:rsid w:val="008778B6"/>
    <w:rsid w:val="00884D6C"/>
    <w:rsid w:val="008A16A2"/>
    <w:rsid w:val="008B7B57"/>
    <w:rsid w:val="008C6F8A"/>
    <w:rsid w:val="00916ADC"/>
    <w:rsid w:val="00920F00"/>
    <w:rsid w:val="00921595"/>
    <w:rsid w:val="009373F6"/>
    <w:rsid w:val="0093783D"/>
    <w:rsid w:val="00940540"/>
    <w:rsid w:val="00946276"/>
    <w:rsid w:val="009542B2"/>
    <w:rsid w:val="0096038F"/>
    <w:rsid w:val="009658CF"/>
    <w:rsid w:val="00976588"/>
    <w:rsid w:val="00A02DC7"/>
    <w:rsid w:val="00A16E81"/>
    <w:rsid w:val="00A27CA7"/>
    <w:rsid w:val="00A45B30"/>
    <w:rsid w:val="00A71D0A"/>
    <w:rsid w:val="00A77F1E"/>
    <w:rsid w:val="00A847C4"/>
    <w:rsid w:val="00AB389D"/>
    <w:rsid w:val="00AE7B02"/>
    <w:rsid w:val="00AF0DEA"/>
    <w:rsid w:val="00AF25E0"/>
    <w:rsid w:val="00B04290"/>
    <w:rsid w:val="00B80DEF"/>
    <w:rsid w:val="00B86BB5"/>
    <w:rsid w:val="00B91903"/>
    <w:rsid w:val="00BC4669"/>
    <w:rsid w:val="00BE767C"/>
    <w:rsid w:val="00BF4E0C"/>
    <w:rsid w:val="00C16EF1"/>
    <w:rsid w:val="00C448D3"/>
    <w:rsid w:val="00C74573"/>
    <w:rsid w:val="00CF62E5"/>
    <w:rsid w:val="00D142FB"/>
    <w:rsid w:val="00D31C21"/>
    <w:rsid w:val="00D54CAD"/>
    <w:rsid w:val="00D56178"/>
    <w:rsid w:val="00D611EC"/>
    <w:rsid w:val="00D66D3A"/>
    <w:rsid w:val="00D743D4"/>
    <w:rsid w:val="00DB3D6C"/>
    <w:rsid w:val="00DE362D"/>
    <w:rsid w:val="00E014B6"/>
    <w:rsid w:val="00E0262A"/>
    <w:rsid w:val="00E1162F"/>
    <w:rsid w:val="00E11D5F"/>
    <w:rsid w:val="00E20D34"/>
    <w:rsid w:val="00E20E1F"/>
    <w:rsid w:val="00E23CA4"/>
    <w:rsid w:val="00E42F96"/>
    <w:rsid w:val="00E678A8"/>
    <w:rsid w:val="00E7118F"/>
    <w:rsid w:val="00E765D0"/>
    <w:rsid w:val="00E8394A"/>
    <w:rsid w:val="00EF01AE"/>
    <w:rsid w:val="00F27657"/>
    <w:rsid w:val="00F342DC"/>
    <w:rsid w:val="00F56F93"/>
    <w:rsid w:val="00F63041"/>
    <w:rsid w:val="00F65092"/>
    <w:rsid w:val="00F76452"/>
    <w:rsid w:val="00FC016A"/>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49D36"/>
  <w15:docId w15:val="{2A529894-04C1-4974-BBD9-CDFADB5B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D31C21"/>
    <w:rPr>
      <w:rFonts w:ascii="Segoe UI" w:hAnsi="Segoe UI" w:cs="Segoe UI"/>
      <w:sz w:val="18"/>
      <w:szCs w:val="18"/>
    </w:rPr>
  </w:style>
  <w:style w:type="character" w:customStyle="1" w:styleId="SprechblasentextZchn">
    <w:name w:val="Sprechblasentext Zchn"/>
    <w:basedOn w:val="Absatz-Standardschriftart"/>
    <w:link w:val="Sprechblasentext"/>
    <w:semiHidden/>
    <w:rsid w:val="00D31C21"/>
    <w:rPr>
      <w:rFonts w:ascii="Segoe UI" w:hAnsi="Segoe UI" w:cs="Segoe UI"/>
      <w:sz w:val="18"/>
      <w:szCs w:val="18"/>
    </w:rPr>
  </w:style>
  <w:style w:type="paragraph" w:styleId="Listenabsatz">
    <w:name w:val="List Paragraph"/>
    <w:basedOn w:val="Standard"/>
    <w:uiPriority w:val="34"/>
    <w:qFormat/>
    <w:rsid w:val="00546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7b549\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437</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Frauhammer, Falk</dc:creator>
  <cp:lastModifiedBy>Baumann, Gerhard</cp:lastModifiedBy>
  <cp:revision>12</cp:revision>
  <cp:lastPrinted>2023-09-27T14:14:00Z</cp:lastPrinted>
  <dcterms:created xsi:type="dcterms:W3CDTF">2023-01-10T14:20:00Z</dcterms:created>
  <dcterms:modified xsi:type="dcterms:W3CDTF">2023-09-27T14:14:00Z</dcterms:modified>
</cp:coreProperties>
</file>