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7633F" w14:textId="1AD9A62A" w:rsidR="003D7B0B" w:rsidRPr="006E0575" w:rsidRDefault="003D7B0B" w:rsidP="00397717">
      <w:pPr>
        <w:jc w:val="right"/>
      </w:pPr>
      <w:r w:rsidRPr="006E0575">
        <w:t xml:space="preserve">Anlage </w:t>
      </w:r>
      <w:r w:rsidR="00AF7F11">
        <w:t>14</w:t>
      </w:r>
      <w:bookmarkStart w:id="0" w:name="_GoBack"/>
      <w:bookmarkEnd w:id="0"/>
      <w:r w:rsidRPr="006E0575">
        <w:t xml:space="preserve"> zur GRDrs</w:t>
      </w:r>
      <w:r w:rsidR="00302C58">
        <w:t>.</w:t>
      </w:r>
      <w:r w:rsidRPr="006E0575">
        <w:t xml:space="preserve"> </w:t>
      </w:r>
      <w:r w:rsidR="00302C58">
        <w:t>821</w:t>
      </w:r>
      <w:r w:rsidR="005F5B3D">
        <w:t>/20</w:t>
      </w:r>
      <w:r w:rsidR="00AE7B02">
        <w:t>2</w:t>
      </w:r>
      <w:r w:rsidR="00026253">
        <w:t>3</w:t>
      </w:r>
    </w:p>
    <w:p w14:paraId="20873E35" w14:textId="77777777" w:rsidR="003D7B0B" w:rsidRPr="006E0575" w:rsidRDefault="003D7B0B" w:rsidP="006E0575"/>
    <w:p w14:paraId="7F6A3451" w14:textId="77777777" w:rsidR="003D7B0B" w:rsidRPr="006E0575" w:rsidRDefault="003D7B0B" w:rsidP="006E0575"/>
    <w:p w14:paraId="2866090E" w14:textId="77777777"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6D761ADA" w14:textId="44E2138F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F23D6A">
        <w:rPr>
          <w:b/>
          <w:sz w:val="36"/>
          <w:szCs w:val="36"/>
          <w:u w:val="single"/>
        </w:rPr>
        <w:t>4</w:t>
      </w:r>
    </w:p>
    <w:p w14:paraId="66F102F2" w14:textId="77777777" w:rsidR="003D7B0B" w:rsidRDefault="003D7B0B" w:rsidP="006E0575">
      <w:pPr>
        <w:rPr>
          <w:u w:val="single"/>
        </w:rPr>
      </w:pPr>
    </w:p>
    <w:p w14:paraId="470AF187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14:paraId="5D9E8712" w14:textId="77777777" w:rsidTr="0096038F">
        <w:trPr>
          <w:tblHeader/>
        </w:trPr>
        <w:tc>
          <w:tcPr>
            <w:tcW w:w="1701" w:type="dxa"/>
            <w:shd w:val="pct12" w:color="auto" w:fill="FFFFFF"/>
          </w:tcPr>
          <w:p w14:paraId="09E0AC4D" w14:textId="77777777"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0B3EBACD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00910020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55BE8133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086F5680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32562AB1" w14:textId="77777777"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14:paraId="2EB09900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47EA6087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0585F87C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14:paraId="7F9A4D90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1AC86823" w14:textId="77777777" w:rsidTr="0096038F">
        <w:tc>
          <w:tcPr>
            <w:tcW w:w="1701" w:type="dxa"/>
          </w:tcPr>
          <w:p w14:paraId="25B09DD3" w14:textId="77777777" w:rsidR="005F5B3D" w:rsidRDefault="005F5B3D" w:rsidP="0030686C">
            <w:pPr>
              <w:rPr>
                <w:sz w:val="20"/>
              </w:rPr>
            </w:pPr>
          </w:p>
          <w:p w14:paraId="03A36ACB" w14:textId="707F42A0" w:rsidR="005F5B3D" w:rsidRDefault="001169B6" w:rsidP="0030686C">
            <w:pPr>
              <w:rPr>
                <w:sz w:val="20"/>
              </w:rPr>
            </w:pPr>
            <w:r>
              <w:rPr>
                <w:sz w:val="20"/>
              </w:rPr>
              <w:t>32-31.3</w:t>
            </w:r>
          </w:p>
          <w:p w14:paraId="2F4497A2" w14:textId="77777777" w:rsidR="0011112B" w:rsidRDefault="0011112B" w:rsidP="0030686C">
            <w:pPr>
              <w:rPr>
                <w:sz w:val="20"/>
              </w:rPr>
            </w:pPr>
          </w:p>
          <w:p w14:paraId="6110459F" w14:textId="301528B8" w:rsidR="005F5B3D" w:rsidRPr="006E0575" w:rsidRDefault="00F23D6A" w:rsidP="0030686C">
            <w:pPr>
              <w:rPr>
                <w:sz w:val="20"/>
              </w:rPr>
            </w:pPr>
            <w:r>
              <w:rPr>
                <w:sz w:val="20"/>
              </w:rPr>
              <w:t>3231</w:t>
            </w:r>
            <w:r w:rsidR="00302C58">
              <w:rPr>
                <w:sz w:val="20"/>
              </w:rPr>
              <w:t xml:space="preserve"> </w:t>
            </w:r>
            <w:r>
              <w:rPr>
                <w:sz w:val="20"/>
              </w:rPr>
              <w:t>5313</w:t>
            </w:r>
          </w:p>
        </w:tc>
        <w:tc>
          <w:tcPr>
            <w:tcW w:w="1701" w:type="dxa"/>
          </w:tcPr>
          <w:p w14:paraId="484BCFD6" w14:textId="77777777" w:rsidR="005F5B3D" w:rsidRDefault="005F5B3D" w:rsidP="0030686C">
            <w:pPr>
              <w:rPr>
                <w:sz w:val="20"/>
              </w:rPr>
            </w:pPr>
          </w:p>
          <w:p w14:paraId="726D1844" w14:textId="77777777" w:rsidR="00DA4B16" w:rsidRDefault="00DA4B16" w:rsidP="00DA4B16">
            <w:r>
              <w:rPr>
                <w:sz w:val="20"/>
              </w:rPr>
              <w:t xml:space="preserve">Amt für </w:t>
            </w:r>
            <w:r>
              <w:rPr>
                <w:sz w:val="20"/>
              </w:rPr>
              <w:br/>
              <w:t xml:space="preserve">öffentliche </w:t>
            </w:r>
            <w:r>
              <w:rPr>
                <w:sz w:val="20"/>
              </w:rPr>
              <w:br/>
              <w:t>Ordnung</w:t>
            </w:r>
          </w:p>
          <w:p w14:paraId="1F710DE0" w14:textId="70366928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4F2E08A4" w14:textId="77777777" w:rsidR="005F5B3D" w:rsidRDefault="005F5B3D" w:rsidP="0030686C">
            <w:pPr>
              <w:rPr>
                <w:sz w:val="20"/>
              </w:rPr>
            </w:pPr>
          </w:p>
          <w:p w14:paraId="340E533F" w14:textId="77777777" w:rsidR="005F5B3D" w:rsidRPr="006E0575" w:rsidRDefault="00F23D6A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701" w:type="dxa"/>
          </w:tcPr>
          <w:p w14:paraId="249C5F4C" w14:textId="77777777" w:rsidR="00F23D6A" w:rsidRDefault="00F23D6A" w:rsidP="0030686C">
            <w:pPr>
              <w:rPr>
                <w:sz w:val="20"/>
              </w:rPr>
            </w:pPr>
          </w:p>
          <w:p w14:paraId="0E42CA31" w14:textId="6949ED89" w:rsidR="00F23D6A" w:rsidRDefault="00F23D6A" w:rsidP="0030686C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302C58">
              <w:rPr>
                <w:sz w:val="20"/>
              </w:rPr>
              <w:t>/ -in</w:t>
            </w:r>
          </w:p>
          <w:p w14:paraId="1E009E0F" w14:textId="0575FF35" w:rsidR="00FA7ADE" w:rsidRPr="006E0575" w:rsidRDefault="00FA7ADE" w:rsidP="0030686C">
            <w:pPr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14:paraId="18BC68D0" w14:textId="77777777" w:rsidR="00F23D6A" w:rsidRDefault="00F23D6A" w:rsidP="0030686C">
            <w:pPr>
              <w:rPr>
                <w:sz w:val="20"/>
              </w:rPr>
            </w:pPr>
          </w:p>
          <w:p w14:paraId="0F0DB25B" w14:textId="6AD73C31" w:rsidR="005F5B3D" w:rsidRPr="006E0575" w:rsidRDefault="00F23D6A" w:rsidP="00FA7ADE">
            <w:pPr>
              <w:rPr>
                <w:sz w:val="20"/>
              </w:rPr>
            </w:pPr>
            <w:r>
              <w:rPr>
                <w:sz w:val="20"/>
              </w:rPr>
              <w:t>1,</w:t>
            </w:r>
            <w:r w:rsidR="00FA7ADE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1B8008C7" w14:textId="77777777" w:rsidR="005F5B3D" w:rsidRDefault="005F5B3D" w:rsidP="0030686C">
            <w:pPr>
              <w:rPr>
                <w:sz w:val="20"/>
              </w:rPr>
            </w:pPr>
          </w:p>
          <w:p w14:paraId="19DD8B38" w14:textId="2E1BDE08" w:rsidR="005F5B3D" w:rsidRPr="006E0575" w:rsidRDefault="00DA4B16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14:paraId="63329D69" w14:textId="77777777" w:rsidR="005F5B3D" w:rsidRDefault="005F5B3D" w:rsidP="0030686C">
            <w:pPr>
              <w:rPr>
                <w:sz w:val="20"/>
              </w:rPr>
            </w:pPr>
          </w:p>
          <w:p w14:paraId="27CDBC95" w14:textId="7B2CBB00" w:rsidR="005F5B3D" w:rsidRPr="006E0575" w:rsidRDefault="00302C58" w:rsidP="0030686C">
            <w:pPr>
              <w:rPr>
                <w:sz w:val="20"/>
              </w:rPr>
            </w:pPr>
            <w:r>
              <w:rPr>
                <w:sz w:val="20"/>
              </w:rPr>
              <w:t>146.160</w:t>
            </w:r>
          </w:p>
        </w:tc>
      </w:tr>
    </w:tbl>
    <w:p w14:paraId="154FCF8C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31D9F69E" w14:textId="77777777" w:rsidR="003D7B0B" w:rsidRDefault="003D7B0B" w:rsidP="00884D6C"/>
    <w:p w14:paraId="11D6CD30" w14:textId="7F57631E" w:rsidR="003D7B0B" w:rsidRDefault="00FA7ADE" w:rsidP="00884D6C">
      <w:r>
        <w:t>Der</w:t>
      </w:r>
      <w:r w:rsidR="00F23D6A">
        <w:t xml:space="preserve"> S</w:t>
      </w:r>
      <w:r>
        <w:t>chaffung von 1,4</w:t>
      </w:r>
      <w:r w:rsidR="007C6FD3">
        <w:t xml:space="preserve"> Stelle</w:t>
      </w:r>
      <w:r>
        <w:t xml:space="preserve">n </w:t>
      </w:r>
      <w:r w:rsidR="00F23D6A">
        <w:t xml:space="preserve">für die Sachbearbeitung </w:t>
      </w:r>
      <w:r w:rsidR="00707603">
        <w:t xml:space="preserve">des Bereichs </w:t>
      </w:r>
      <w:r w:rsidR="00F23D6A">
        <w:t>„Kreative Sondernutzungen durch private Möblierung des Straßenraums“ bei der Straßenverkehrsbehörde</w:t>
      </w:r>
      <w:r>
        <w:t xml:space="preserve"> wird zugestimmt</w:t>
      </w:r>
      <w:r w:rsidR="00F23D6A">
        <w:t>.</w:t>
      </w:r>
    </w:p>
    <w:p w14:paraId="788A7058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7204CBDD" w14:textId="77777777" w:rsidR="003D7B0B" w:rsidRDefault="003D7B0B" w:rsidP="00884D6C"/>
    <w:p w14:paraId="5572F320" w14:textId="428199FA" w:rsidR="007C6FD3" w:rsidRDefault="00FA7ADE" w:rsidP="00884D6C">
      <w:r>
        <w:t>Das Kriterium „</w:t>
      </w:r>
      <w:r w:rsidRPr="00FA7ADE">
        <w:t>vom Gemeinderat beschlossene neue bzw. erweiterte Aufgaben oder Einrichtungen</w:t>
      </w:r>
      <w:r>
        <w:t>“ ist im Umfang von 1,4 Stellen erfüllt.</w:t>
      </w:r>
    </w:p>
    <w:p w14:paraId="35E5F562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52037383" w14:textId="77777777"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69734A4B" w14:textId="77777777" w:rsidR="003D7B0B" w:rsidRPr="00884D6C" w:rsidRDefault="003D7B0B" w:rsidP="00884D6C"/>
    <w:p w14:paraId="485357AE" w14:textId="33AE7D1A" w:rsidR="00927BF2" w:rsidRDefault="001F2DB9" w:rsidP="001F2DB9">
      <w:r>
        <w:t xml:space="preserve">Mit der </w:t>
      </w:r>
      <w:r w:rsidR="00302C58">
        <w:t>GRDrs.</w:t>
      </w:r>
      <w:r>
        <w:t xml:space="preserve"> 773/2022</w:t>
      </w:r>
      <w:r w:rsidR="00123FA6">
        <w:t xml:space="preserve"> </w:t>
      </w:r>
      <w:r>
        <w:t>hat der Gemeinderat</w:t>
      </w:r>
      <w:r w:rsidR="00123FA6">
        <w:t xml:space="preserve"> </w:t>
      </w:r>
      <w:r w:rsidR="00AD25E4">
        <w:t xml:space="preserve">erstmals </w:t>
      </w:r>
      <w:r>
        <w:t>den Voraussetzungen</w:t>
      </w:r>
      <w:r w:rsidR="00123FA6">
        <w:t xml:space="preserve"> für die Aufstellung von privater Möblierung </w:t>
      </w:r>
      <w:r>
        <w:t>zugestimmt. Diese ermöglichen</w:t>
      </w:r>
      <w:r w:rsidR="00707603">
        <w:t xml:space="preserve"> den Bürger</w:t>
      </w:r>
      <w:r w:rsidR="00123FA6">
        <w:t>innen</w:t>
      </w:r>
      <w:r w:rsidR="00707603">
        <w:t xml:space="preserve"> und Bürgern</w:t>
      </w:r>
      <w:r w:rsidR="00123FA6">
        <w:t>, ihre Wünsche an die Begrünung und kommunikative Nutzung des Straßenraums</w:t>
      </w:r>
      <w:r>
        <w:t xml:space="preserve"> ohne großen bürokratischen Aufwand</w:t>
      </w:r>
      <w:r w:rsidR="00B84BB3">
        <w:t xml:space="preserve"> zu verwirklichen.</w:t>
      </w:r>
    </w:p>
    <w:p w14:paraId="7702E3CD" w14:textId="77777777" w:rsidR="00927BF2" w:rsidRDefault="00927BF2" w:rsidP="001F2DB9"/>
    <w:p w14:paraId="153C24B4" w14:textId="66D8FB68" w:rsidR="00927BF2" w:rsidRDefault="001F2DB9" w:rsidP="001F2DB9">
      <w:r>
        <w:t xml:space="preserve">Gleichzeitig wird die im </w:t>
      </w:r>
      <w:r w:rsidRPr="001F2DB9">
        <w:t>Antr</w:t>
      </w:r>
      <w:r>
        <w:t>ag Nr. 277/2022 formulierte politische Zielsetzung,</w:t>
      </w:r>
      <w:r w:rsidRPr="001F2DB9">
        <w:t xml:space="preserve"> die Urbanisierung des öffentlichen Raum</w:t>
      </w:r>
      <w:r w:rsidR="00707603">
        <w:t>s</w:t>
      </w:r>
      <w:r w:rsidRPr="001F2DB9">
        <w:t xml:space="preserve"> zu stärken, indem das Genehmigungsverfahre</w:t>
      </w:r>
      <w:r>
        <w:t>n für Parklets erleichtert wird</w:t>
      </w:r>
      <w:r w:rsidR="00AD25E4">
        <w:t xml:space="preserve"> und deren Umsetzung damit befördert wird</w:t>
      </w:r>
      <w:r>
        <w:t xml:space="preserve">, </w:t>
      </w:r>
      <w:r w:rsidR="006A701A">
        <w:t>umgesetzt.</w:t>
      </w:r>
    </w:p>
    <w:p w14:paraId="3FA806CE" w14:textId="77777777" w:rsidR="00B84BB3" w:rsidRDefault="00B84BB3" w:rsidP="001F2DB9"/>
    <w:p w14:paraId="2672D7C3" w14:textId="48021D58" w:rsidR="00B84BB3" w:rsidRPr="001F2DB9" w:rsidRDefault="00B84BB3" w:rsidP="001F2DB9">
      <w:r>
        <w:t>Diese neuen und erweiterten Genehmigungsmöglichkeiten sind ebenfalls als Maßnahmen im Handlungsfeld „Fußverkehr“ des Aktionsplans „Nachhaltig mobil“ (GRDrs</w:t>
      </w:r>
      <w:r w:rsidR="00302C58">
        <w:t>.</w:t>
      </w:r>
      <w:r>
        <w:t xml:space="preserve"> 824/2022) verankert.</w:t>
      </w:r>
    </w:p>
    <w:p w14:paraId="2A5259C3" w14:textId="77777777" w:rsidR="00686D67" w:rsidRDefault="00686D67" w:rsidP="00884D6C"/>
    <w:p w14:paraId="344A5D0A" w14:textId="7C359BA4" w:rsidR="00686D67" w:rsidRDefault="00686D67" w:rsidP="00884D6C">
      <w:r>
        <w:lastRenderedPageBreak/>
        <w:t xml:space="preserve">Die Erteilung von Sondernutzungserlaubnissen </w:t>
      </w:r>
      <w:r w:rsidR="00AD25E4">
        <w:t xml:space="preserve">für private Möblierung wie auch für Parklets </w:t>
      </w:r>
      <w:r>
        <w:t xml:space="preserve">unterliegt trotz Formulierung ermessenslenkender Entscheidungskriterien jeweils einer aufwändigen Einzelfallbetrachtung. </w:t>
      </w:r>
      <w:r w:rsidR="006E7C4D">
        <w:t xml:space="preserve">Durch die </w:t>
      </w:r>
      <w:r w:rsidR="00927BF2">
        <w:t xml:space="preserve">neuen </w:t>
      </w:r>
      <w:r w:rsidR="006E7C4D">
        <w:t>Voraussetzungen ist ein starker Anstieg der Fallzahlen zu erwarten, der von d</w:t>
      </w:r>
      <w:r w:rsidR="00707603">
        <w:t>en vorhandenen Mitarbeitenden</w:t>
      </w:r>
      <w:r w:rsidR="006E7C4D">
        <w:t xml:space="preserve"> nicht bewältigt werden kann. </w:t>
      </w:r>
    </w:p>
    <w:p w14:paraId="237D3DFF" w14:textId="77777777" w:rsidR="00AD25E4" w:rsidRDefault="00AD25E4" w:rsidP="00884D6C"/>
    <w:p w14:paraId="392132FF" w14:textId="12B8DF4E" w:rsidR="009430A9" w:rsidRDefault="00AD25E4" w:rsidP="00AD25E4">
      <w:r>
        <w:t>Neben dem Zeitaufwand für die eigentlichen Genehmigungsprozesse entsteht ein hoher Zeitaufwand bei der Beratung der Antragstelle</w:t>
      </w:r>
      <w:r w:rsidR="00707603">
        <w:t>r</w:t>
      </w:r>
      <w:r w:rsidR="00302C58">
        <w:t>/-</w:t>
      </w:r>
      <w:r w:rsidR="00707603">
        <w:t>innen</w:t>
      </w:r>
      <w:r>
        <w:t xml:space="preserve"> wie auch von Beschwerdeführenden</w:t>
      </w:r>
      <w:r w:rsidR="00F9115B">
        <w:t xml:space="preserve"> – insbesondere bei nachbarschaftlichen Konflikten bis hin zu </w:t>
      </w:r>
      <w:r>
        <w:t>Beseitigungsanordnungen</w:t>
      </w:r>
      <w:r w:rsidR="00F9115B">
        <w:t xml:space="preserve">. Die Prozesse sind </w:t>
      </w:r>
      <w:r>
        <w:t xml:space="preserve">oftmals mit Ortsbesichtigungen und </w:t>
      </w:r>
      <w:r w:rsidR="00F9115B">
        <w:t xml:space="preserve">einem hohen </w:t>
      </w:r>
      <w:r>
        <w:t>Kommunikation</w:t>
      </w:r>
      <w:r w:rsidR="00F9115B">
        <w:t>sbedarf mit den verschiedenen Interessensvertreter</w:t>
      </w:r>
      <w:r w:rsidR="00707603">
        <w:t>inne</w:t>
      </w:r>
      <w:r w:rsidR="00F9115B">
        <w:t>n</w:t>
      </w:r>
      <w:r w:rsidR="00707603">
        <w:t xml:space="preserve"> und -vertretern</w:t>
      </w:r>
      <w:r w:rsidR="00F9115B">
        <w:t>, den Bezirksvorstehe</w:t>
      </w:r>
      <w:r w:rsidR="00302C58">
        <w:t xml:space="preserve">rn/Bezirksvorsteherinnen </w:t>
      </w:r>
      <w:r w:rsidR="00F9115B">
        <w:t>und Bezirksbeiräten sowie der Presse</w:t>
      </w:r>
      <w:r>
        <w:t xml:space="preserve"> verbunden</w:t>
      </w:r>
      <w:r w:rsidR="00F9115B">
        <w:t>.</w:t>
      </w:r>
    </w:p>
    <w:p w14:paraId="44B6B535" w14:textId="77777777" w:rsidR="00686D67" w:rsidRDefault="00686D67" w:rsidP="00884D6C"/>
    <w:p w14:paraId="30527F5B" w14:textId="47948B19" w:rsidR="004670DA" w:rsidRPr="00371252" w:rsidRDefault="00686D67" w:rsidP="00686D67">
      <w:r w:rsidRPr="00371252">
        <w:t>Die</w:t>
      </w:r>
      <w:r w:rsidR="008B0D28" w:rsidRPr="00371252">
        <w:t>se</w:t>
      </w:r>
      <w:r w:rsidRPr="00371252">
        <w:t xml:space="preserve"> Aufgaben sind </w:t>
      </w:r>
      <w:r w:rsidR="00F9115B">
        <w:t xml:space="preserve">zudem </w:t>
      </w:r>
      <w:r w:rsidRPr="00371252">
        <w:t>von hohem Koordinierungs- und Abstimmungsbedarf geprägt, da aufgrund der Infrastruk</w:t>
      </w:r>
      <w:r w:rsidR="00707603">
        <w:t>t</w:t>
      </w:r>
      <w:r w:rsidRPr="00371252">
        <w:t xml:space="preserve">ur der Landeshauptstadt Stuttgart </w:t>
      </w:r>
      <w:r w:rsidR="008B0D28" w:rsidRPr="00371252">
        <w:t>temporäre Bespielungen des öffentlichen Raums</w:t>
      </w:r>
      <w:r w:rsidRPr="00371252">
        <w:t xml:space="preserve">, die über längere Zeiträume Bestand haben sollen, Konflikte mit </w:t>
      </w:r>
      <w:r w:rsidR="00AD25E4">
        <w:t>konkurrierenden</w:t>
      </w:r>
      <w:r w:rsidR="00AD25E4" w:rsidRPr="00371252">
        <w:t xml:space="preserve"> </w:t>
      </w:r>
      <w:r w:rsidRPr="00371252">
        <w:t>Nutzungen (z. B. Verkehrsplanungen, Baumaßnahmen, Versammlungen</w:t>
      </w:r>
      <w:r w:rsidR="00302C58">
        <w:t>,</w:t>
      </w:r>
      <w:r w:rsidRPr="00371252">
        <w:t xml:space="preserve"> u. a.) erzeugen und das Sicherheitsgefühl beeinträchtigen können (Licht, Raum, „Pinkelecken“).</w:t>
      </w:r>
      <w:r w:rsidR="004670DA" w:rsidRPr="00371252">
        <w:t xml:space="preserve"> </w:t>
      </w:r>
    </w:p>
    <w:p w14:paraId="67EC9C60" w14:textId="77777777" w:rsidR="004670DA" w:rsidRPr="00371252" w:rsidRDefault="004670DA" w:rsidP="00686D67"/>
    <w:p w14:paraId="15CD9F97" w14:textId="7637F541" w:rsidR="0002497D" w:rsidRDefault="004670DA" w:rsidP="00686D67">
      <w:r w:rsidRPr="00371252">
        <w:t>Gleichzei</w:t>
      </w:r>
      <w:r w:rsidR="00302C58">
        <w:t>tig fordern sowohl die Vertreter/-</w:t>
      </w:r>
      <w:r w:rsidRPr="00371252">
        <w:t>innen der Zivilgesellschaft wie auch die Bezirksbeiräte zu diesem Thema eine hohe Transparenz und ausgeprägte Kommunikationskultur ein. Bereits bei der Erarbeitung der Konzeption waren Diskussionsfor</w:t>
      </w:r>
      <w:r w:rsidR="00707603">
        <w:t>mate mit allen Bezirksvorsteher</w:t>
      </w:r>
      <w:r w:rsidRPr="00371252">
        <w:t xml:space="preserve">innen </w:t>
      </w:r>
      <w:r w:rsidR="00707603">
        <w:t xml:space="preserve">und -vorstehern </w:t>
      </w:r>
      <w:r w:rsidRPr="00371252">
        <w:t xml:space="preserve">und interessierten Bezirksbeiräten erforderlich und </w:t>
      </w:r>
      <w:r w:rsidR="00C85AA2" w:rsidRPr="00371252">
        <w:t>wurden als aktives Element der G</w:t>
      </w:r>
      <w:r w:rsidRPr="00371252">
        <w:t>overnance genutzt. Die Umsetzung der GRDrs</w:t>
      </w:r>
      <w:r w:rsidR="00302C58">
        <w:t>.</w:t>
      </w:r>
      <w:r w:rsidRPr="00371252">
        <w:t xml:space="preserve"> </w:t>
      </w:r>
      <w:r w:rsidR="00927BF2">
        <w:t xml:space="preserve">277/2022 </w:t>
      </w:r>
      <w:r w:rsidR="001B4E84" w:rsidRPr="00371252">
        <w:t xml:space="preserve">wird mit einer Evaluierung und Weiterentwicklung einhergehen, in die zahlreiche </w:t>
      </w:r>
      <w:r w:rsidR="00C85AA2" w:rsidRPr="00371252">
        <w:t>S</w:t>
      </w:r>
      <w:r w:rsidR="001B4E84" w:rsidRPr="00371252">
        <w:t>takeholder</w:t>
      </w:r>
      <w:r w:rsidR="00707603">
        <w:t>,</w:t>
      </w:r>
      <w:r w:rsidR="001B4E84" w:rsidRPr="00371252">
        <w:t xml:space="preserve"> wie die zuvor genannten Bezirksvertretungen, die Interessensvertretungen sowie Einzelinteressen und Forschung sowie Gewerbetreibende</w:t>
      </w:r>
      <w:r w:rsidR="00707603">
        <w:t>,</w:t>
      </w:r>
      <w:r w:rsidR="001B4E84" w:rsidRPr="00371252">
        <w:t xml:space="preserve"> eingebunden sein werden. Die Konzeption und Moderation dieses Prozesses erfordert </w:t>
      </w:r>
      <w:r w:rsidRPr="00371252">
        <w:t>ein</w:t>
      </w:r>
      <w:r w:rsidR="00F9115B">
        <w:t>en hohen zeitlichen Aufwand sowie</w:t>
      </w:r>
      <w:r w:rsidRPr="00371252">
        <w:t xml:space="preserve"> </w:t>
      </w:r>
      <w:r w:rsidR="00F9115B">
        <w:t xml:space="preserve">ein </w:t>
      </w:r>
      <w:r w:rsidRPr="00371252">
        <w:t xml:space="preserve">hohes Maß an Kommunikationsfähigkeit </w:t>
      </w:r>
      <w:r w:rsidR="001B4E84" w:rsidRPr="00371252">
        <w:t>und strategisch</w:t>
      </w:r>
      <w:r w:rsidR="00302C58">
        <w:t>es</w:t>
      </w:r>
      <w:r w:rsidR="001B4E84" w:rsidRPr="00371252">
        <w:t>/konzeptionelles/vernetztes Handeln.</w:t>
      </w:r>
    </w:p>
    <w:p w14:paraId="324751B7" w14:textId="77777777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751698DE" w14:textId="77777777" w:rsidR="003D7B0B" w:rsidRDefault="003D7B0B" w:rsidP="00884D6C"/>
    <w:p w14:paraId="7EF3701C" w14:textId="475E5838" w:rsidR="003D7B0B" w:rsidRDefault="00686D67" w:rsidP="00884D6C">
      <w:r>
        <w:t>Für diese</w:t>
      </w:r>
      <w:r w:rsidR="008B0D28">
        <w:t xml:space="preserve"> </w:t>
      </w:r>
      <w:r w:rsidR="00F9115B">
        <w:t xml:space="preserve">neuen und </w:t>
      </w:r>
      <w:r w:rsidR="00302C58">
        <w:t>zusätzlichen</w:t>
      </w:r>
      <w:r>
        <w:t xml:space="preserve"> aus den wachsenden Anforderungen an den begrenzten öffentlichen Raum </w:t>
      </w:r>
      <w:r w:rsidR="00423592">
        <w:t>entstehenden Aufgaben</w:t>
      </w:r>
      <w:r w:rsidR="008B0D28">
        <w:t xml:space="preserve"> </w:t>
      </w:r>
      <w:r w:rsidR="00423592">
        <w:t xml:space="preserve">stehen beim Team Straßenrecht keine personellen Kapazitäten zur Verfügung. </w:t>
      </w:r>
    </w:p>
    <w:p w14:paraId="5C20DEED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74151491" w14:textId="77777777" w:rsidR="003D7B0B" w:rsidRDefault="003D7B0B" w:rsidP="00884D6C"/>
    <w:p w14:paraId="67C30326" w14:textId="68CB45AB" w:rsidR="00423592" w:rsidRPr="00423592" w:rsidRDefault="00423592" w:rsidP="00423592">
      <w:pPr>
        <w:rPr>
          <w:rFonts w:cs="Arial"/>
        </w:rPr>
      </w:pPr>
      <w:r w:rsidRPr="00423592">
        <w:rPr>
          <w:rFonts w:cs="Arial"/>
        </w:rPr>
        <w:t>Bei fehlend</w:t>
      </w:r>
      <w:r>
        <w:rPr>
          <w:rFonts w:cs="Arial"/>
        </w:rPr>
        <w:t xml:space="preserve">er Stellenschaffung </w:t>
      </w:r>
      <w:r w:rsidR="00F9115B">
        <w:rPr>
          <w:rFonts w:cs="Arial"/>
        </w:rPr>
        <w:t>können die Beschlüsse des Geme</w:t>
      </w:r>
      <w:r w:rsidR="00707603">
        <w:rPr>
          <w:rFonts w:cs="Arial"/>
        </w:rPr>
        <w:t>inderats nicht umgesetzt und</w:t>
      </w:r>
      <w:r w:rsidR="00F9115B">
        <w:rPr>
          <w:rFonts w:cs="Arial"/>
        </w:rPr>
        <w:t xml:space="preserve"> </w:t>
      </w:r>
      <w:r w:rsidRPr="00423592">
        <w:rPr>
          <w:rFonts w:cs="Arial"/>
        </w:rPr>
        <w:t xml:space="preserve">eingehende Anträge </w:t>
      </w:r>
      <w:r w:rsidR="008B0D28">
        <w:rPr>
          <w:rFonts w:cs="Arial"/>
        </w:rPr>
        <w:t xml:space="preserve">nicht </w:t>
      </w:r>
      <w:r w:rsidRPr="00423592">
        <w:rPr>
          <w:rFonts w:cs="Arial"/>
        </w:rPr>
        <w:t xml:space="preserve">bearbeitet werden. </w:t>
      </w:r>
      <w:r w:rsidR="00047E83">
        <w:rPr>
          <w:rFonts w:cs="Arial"/>
        </w:rPr>
        <w:t>Die erfolgreic</w:t>
      </w:r>
      <w:r w:rsidR="00707603">
        <w:rPr>
          <w:rFonts w:cs="Arial"/>
        </w:rPr>
        <w:t>he Umsetzung des Aktionsplans „N</w:t>
      </w:r>
      <w:r w:rsidR="00047E83">
        <w:rPr>
          <w:rFonts w:cs="Arial"/>
        </w:rPr>
        <w:t>achhaltig mobil“ wäre gefährdet.</w:t>
      </w:r>
    </w:p>
    <w:p w14:paraId="3F5CA80A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60A75C4D" w14:textId="77777777" w:rsidR="003D7B0B" w:rsidRDefault="003D7B0B" w:rsidP="00884D6C"/>
    <w:p w14:paraId="0F8CD98E" w14:textId="1E41BAE5" w:rsidR="00DE362D" w:rsidRDefault="0072799A" w:rsidP="00884D6C">
      <w:r>
        <w:fldChar w:fldCharType="begin">
          <w:ffData>
            <w:name w:val=""/>
            <w:enabled/>
            <w:calcOnExit w:val="0"/>
            <w:textInput/>
          </w:ffData>
        </w:fldChar>
      </w:r>
      <w:r w:rsidR="00165C0D">
        <w:instrText xml:space="preserve"> FORMTEXT </w:instrText>
      </w:r>
      <w:r>
        <w:fldChar w:fldCharType="separate"/>
      </w:r>
      <w:r w:rsidR="00AF7F11">
        <w:rPr>
          <w:noProof/>
        </w:rPr>
        <w:t> </w:t>
      </w:r>
      <w:r w:rsidR="00AF7F11">
        <w:rPr>
          <w:noProof/>
        </w:rPr>
        <w:t> </w:t>
      </w:r>
      <w:r w:rsidR="00AF7F11">
        <w:rPr>
          <w:noProof/>
        </w:rPr>
        <w:t> </w:t>
      </w:r>
      <w:r w:rsidR="00AF7F11">
        <w:rPr>
          <w:noProof/>
        </w:rPr>
        <w:t> </w:t>
      </w:r>
      <w:r w:rsidR="00AF7F11">
        <w:rPr>
          <w:noProof/>
        </w:rPr>
        <w:t> </w:t>
      </w:r>
      <w:r>
        <w:fldChar w:fldCharType="end"/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67A26" w14:textId="77777777" w:rsidR="006372C1" w:rsidRDefault="006372C1">
      <w:r>
        <w:separator/>
      </w:r>
    </w:p>
  </w:endnote>
  <w:endnote w:type="continuationSeparator" w:id="0">
    <w:p w14:paraId="38C6B69C" w14:textId="77777777" w:rsidR="006372C1" w:rsidRDefault="0063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5E7A3" w14:textId="77777777" w:rsidR="006372C1" w:rsidRDefault="006372C1">
      <w:r>
        <w:separator/>
      </w:r>
    </w:p>
  </w:footnote>
  <w:footnote w:type="continuationSeparator" w:id="0">
    <w:p w14:paraId="537087D3" w14:textId="77777777" w:rsidR="006372C1" w:rsidRDefault="0063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FE69B" w14:textId="66A79E5D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AF7F11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792EA6CA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2EC3FA6"/>
    <w:multiLevelType w:val="hybridMultilevel"/>
    <w:tmpl w:val="09A8F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C1"/>
    <w:rsid w:val="0002497D"/>
    <w:rsid w:val="00026253"/>
    <w:rsid w:val="00047E83"/>
    <w:rsid w:val="00055758"/>
    <w:rsid w:val="00061491"/>
    <w:rsid w:val="00061F0B"/>
    <w:rsid w:val="0007013E"/>
    <w:rsid w:val="000A1146"/>
    <w:rsid w:val="001034AF"/>
    <w:rsid w:val="0011112B"/>
    <w:rsid w:val="001169B6"/>
    <w:rsid w:val="00123FA6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4E84"/>
    <w:rsid w:val="001F2DB9"/>
    <w:rsid w:val="001F7237"/>
    <w:rsid w:val="002924CB"/>
    <w:rsid w:val="002A20D1"/>
    <w:rsid w:val="002A4DE3"/>
    <w:rsid w:val="002B5955"/>
    <w:rsid w:val="00302C58"/>
    <w:rsid w:val="0030686C"/>
    <w:rsid w:val="00353AB4"/>
    <w:rsid w:val="00371252"/>
    <w:rsid w:val="00380937"/>
    <w:rsid w:val="00397717"/>
    <w:rsid w:val="003B3B58"/>
    <w:rsid w:val="003D7B0B"/>
    <w:rsid w:val="003E0F4B"/>
    <w:rsid w:val="003F0FAA"/>
    <w:rsid w:val="00423592"/>
    <w:rsid w:val="004670DA"/>
    <w:rsid w:val="00470135"/>
    <w:rsid w:val="0047606A"/>
    <w:rsid w:val="004908B5"/>
    <w:rsid w:val="0049121B"/>
    <w:rsid w:val="004A1688"/>
    <w:rsid w:val="004B6796"/>
    <w:rsid w:val="004D1A6F"/>
    <w:rsid w:val="005A0A9D"/>
    <w:rsid w:val="005A56AA"/>
    <w:rsid w:val="005E19C6"/>
    <w:rsid w:val="005F5B3D"/>
    <w:rsid w:val="00606F80"/>
    <w:rsid w:val="00622CC7"/>
    <w:rsid w:val="006372C1"/>
    <w:rsid w:val="00686D67"/>
    <w:rsid w:val="006A406B"/>
    <w:rsid w:val="006A701A"/>
    <w:rsid w:val="006B6D50"/>
    <w:rsid w:val="006E0575"/>
    <w:rsid w:val="006E7C4D"/>
    <w:rsid w:val="00707603"/>
    <w:rsid w:val="0072799A"/>
    <w:rsid w:val="00754659"/>
    <w:rsid w:val="007C6FD3"/>
    <w:rsid w:val="007E3B79"/>
    <w:rsid w:val="008066EE"/>
    <w:rsid w:val="00817BB6"/>
    <w:rsid w:val="00874B23"/>
    <w:rsid w:val="00884D6C"/>
    <w:rsid w:val="008B0D28"/>
    <w:rsid w:val="00920F00"/>
    <w:rsid w:val="00927BF2"/>
    <w:rsid w:val="009373F6"/>
    <w:rsid w:val="009430A9"/>
    <w:rsid w:val="00946276"/>
    <w:rsid w:val="0096038F"/>
    <w:rsid w:val="00976588"/>
    <w:rsid w:val="00A27CA7"/>
    <w:rsid w:val="00A45B30"/>
    <w:rsid w:val="00A71D0A"/>
    <w:rsid w:val="00A77F1E"/>
    <w:rsid w:val="00A847C4"/>
    <w:rsid w:val="00AB389D"/>
    <w:rsid w:val="00AD25E4"/>
    <w:rsid w:val="00AE7B02"/>
    <w:rsid w:val="00AF0DEA"/>
    <w:rsid w:val="00AF25E0"/>
    <w:rsid w:val="00AF7F11"/>
    <w:rsid w:val="00B04290"/>
    <w:rsid w:val="00B80DEF"/>
    <w:rsid w:val="00B84BB3"/>
    <w:rsid w:val="00B86BB5"/>
    <w:rsid w:val="00B91903"/>
    <w:rsid w:val="00BC4669"/>
    <w:rsid w:val="00C16EF1"/>
    <w:rsid w:val="00C448D3"/>
    <w:rsid w:val="00C85AA2"/>
    <w:rsid w:val="00CF62E5"/>
    <w:rsid w:val="00D66D3A"/>
    <w:rsid w:val="00D743D4"/>
    <w:rsid w:val="00DA4B16"/>
    <w:rsid w:val="00DB3D6C"/>
    <w:rsid w:val="00DE362D"/>
    <w:rsid w:val="00E014B6"/>
    <w:rsid w:val="00E1162F"/>
    <w:rsid w:val="00E11D5F"/>
    <w:rsid w:val="00E20E1F"/>
    <w:rsid w:val="00E42F96"/>
    <w:rsid w:val="00E7118F"/>
    <w:rsid w:val="00F23D6A"/>
    <w:rsid w:val="00F27657"/>
    <w:rsid w:val="00F342DC"/>
    <w:rsid w:val="00F56F93"/>
    <w:rsid w:val="00F63041"/>
    <w:rsid w:val="00F76452"/>
    <w:rsid w:val="00F9115B"/>
    <w:rsid w:val="00FA7ADE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82299"/>
  <w15:docId w15:val="{224C7F01-9BA9-4ED1-AD40-11FC1281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6372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372C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4670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670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670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70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70DA"/>
    <w:rPr>
      <w:b/>
      <w:bCs/>
      <w:sz w:val="20"/>
      <w:szCs w:val="20"/>
    </w:rPr>
  </w:style>
  <w:style w:type="table" w:styleId="Tabellenraster">
    <w:name w:val="Table Grid"/>
    <w:basedOn w:val="NormaleTabelle"/>
    <w:rsid w:val="0087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Diehl, Cornelia</dc:creator>
  <cp:lastModifiedBy>Baumann, Gerhard</cp:lastModifiedBy>
  <cp:revision>9</cp:revision>
  <cp:lastPrinted>2023-09-27T13:02:00Z</cp:lastPrinted>
  <dcterms:created xsi:type="dcterms:W3CDTF">2023-01-09T07:38:00Z</dcterms:created>
  <dcterms:modified xsi:type="dcterms:W3CDTF">2023-09-27T13:02:00Z</dcterms:modified>
</cp:coreProperties>
</file>