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Default="003D7B0B" w:rsidP="0041232E">
      <w:pPr>
        <w:jc w:val="right"/>
      </w:pPr>
      <w:r w:rsidRPr="006E0575">
        <w:t xml:space="preserve">Anlage </w:t>
      </w:r>
      <w:r w:rsidR="00071408">
        <w:t>29</w:t>
      </w:r>
      <w:r w:rsidRPr="006E0575">
        <w:t xml:space="preserve"> zur GRDrs</w:t>
      </w:r>
      <w:r w:rsidR="000717F8">
        <w:t>.</w:t>
      </w:r>
      <w:r w:rsidRPr="006E0575">
        <w:t xml:space="preserve"> </w:t>
      </w:r>
      <w:r w:rsidR="000717F8">
        <w:t>820</w:t>
      </w:r>
      <w:r w:rsidR="00891246">
        <w:t>/20</w:t>
      </w:r>
      <w:r w:rsidR="00EB1FB5">
        <w:t>2</w:t>
      </w:r>
      <w:r w:rsidR="00DB315E">
        <w:t>3</w:t>
      </w:r>
    </w:p>
    <w:p w:rsidR="0041232E" w:rsidRDefault="0041232E" w:rsidP="0041232E"/>
    <w:p w:rsidR="0041232E" w:rsidRDefault="0041232E" w:rsidP="0041232E"/>
    <w:p w:rsidR="007C5E7C" w:rsidRPr="00A4179B" w:rsidRDefault="007C5E7C" w:rsidP="007C5E7C">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 </w:t>
      </w:r>
      <w:r w:rsidRPr="00666CE4">
        <w:br/>
      </w:r>
      <w:r w:rsidRPr="00A4179B">
        <w:t>zum Stellenplan 20</w:t>
      </w:r>
      <w:r>
        <w:t>24</w:t>
      </w:r>
    </w:p>
    <w:p w:rsidR="007C5E7C" w:rsidRPr="007C5E7C" w:rsidRDefault="007C5E7C" w:rsidP="007C5E7C"/>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Pr="007C5E7C" w:rsidRDefault="00891246" w:rsidP="00AD3A46">
            <w:pPr>
              <w:rPr>
                <w:sz w:val="20"/>
              </w:rPr>
            </w:pPr>
          </w:p>
          <w:p w:rsidR="001D4DFA" w:rsidRPr="007C5E7C" w:rsidRDefault="001D4DFA" w:rsidP="00AD3A46">
            <w:pPr>
              <w:rPr>
                <w:sz w:val="20"/>
              </w:rPr>
            </w:pPr>
            <w:r w:rsidRPr="007C5E7C">
              <w:rPr>
                <w:sz w:val="20"/>
              </w:rPr>
              <w:t>230</w:t>
            </w:r>
            <w:r w:rsidR="00071408">
              <w:rPr>
                <w:sz w:val="20"/>
              </w:rPr>
              <w:t>.</w:t>
            </w:r>
            <w:r w:rsidRPr="007C5E7C">
              <w:rPr>
                <w:sz w:val="20"/>
              </w:rPr>
              <w:t>3014</w:t>
            </w:r>
            <w:r w:rsidR="00071408">
              <w:rPr>
                <w:sz w:val="20"/>
              </w:rPr>
              <w:t>.</w:t>
            </w:r>
            <w:r w:rsidRPr="007C5E7C">
              <w:rPr>
                <w:sz w:val="20"/>
              </w:rPr>
              <w:t>040</w:t>
            </w:r>
          </w:p>
          <w:p w:rsidR="00746A71" w:rsidRPr="007C5E7C" w:rsidRDefault="00746A71" w:rsidP="00AD3A46">
            <w:pPr>
              <w:rPr>
                <w:sz w:val="20"/>
              </w:rPr>
            </w:pPr>
          </w:p>
          <w:p w:rsidR="00746A71" w:rsidRPr="007C5E7C" w:rsidRDefault="00071408" w:rsidP="00AD3A46">
            <w:pPr>
              <w:rPr>
                <w:sz w:val="20"/>
              </w:rPr>
            </w:pPr>
            <w:r>
              <w:rPr>
                <w:sz w:val="20"/>
              </w:rPr>
              <w:t>230.0314.</w:t>
            </w:r>
            <w:r w:rsidR="001D4DFA" w:rsidRPr="007C5E7C">
              <w:rPr>
                <w:sz w:val="20"/>
              </w:rPr>
              <w:t>050</w:t>
            </w:r>
          </w:p>
          <w:p w:rsidR="001D4DFA" w:rsidRPr="007C5E7C" w:rsidRDefault="001D4DFA" w:rsidP="00AD3A46">
            <w:pPr>
              <w:rPr>
                <w:sz w:val="20"/>
              </w:rPr>
            </w:pPr>
          </w:p>
          <w:p w:rsidR="001D4DFA" w:rsidRPr="007C5E7C" w:rsidRDefault="00071408" w:rsidP="00AD3A46">
            <w:pPr>
              <w:rPr>
                <w:sz w:val="20"/>
              </w:rPr>
            </w:pPr>
            <w:r>
              <w:rPr>
                <w:sz w:val="20"/>
              </w:rPr>
              <w:t>230.</w:t>
            </w:r>
            <w:r w:rsidR="001D4DFA" w:rsidRPr="007C5E7C">
              <w:rPr>
                <w:sz w:val="20"/>
              </w:rPr>
              <w:t>6014</w:t>
            </w:r>
            <w:r>
              <w:rPr>
                <w:sz w:val="20"/>
              </w:rPr>
              <w:t>.</w:t>
            </w:r>
            <w:r w:rsidR="001D4DFA" w:rsidRPr="007C5E7C">
              <w:rPr>
                <w:sz w:val="20"/>
              </w:rPr>
              <w:t>060</w:t>
            </w:r>
          </w:p>
          <w:p w:rsidR="001D4DFA" w:rsidRPr="007C5E7C" w:rsidRDefault="001D4DFA" w:rsidP="00AD3A46">
            <w:pPr>
              <w:rPr>
                <w:sz w:val="20"/>
              </w:rPr>
            </w:pPr>
          </w:p>
          <w:p w:rsidR="001D4DFA" w:rsidRPr="007C5E7C" w:rsidRDefault="001D4DFA" w:rsidP="00AD3A46">
            <w:pPr>
              <w:rPr>
                <w:sz w:val="20"/>
              </w:rPr>
            </w:pPr>
          </w:p>
          <w:p w:rsidR="001D4DFA" w:rsidRPr="00171C4A" w:rsidRDefault="00171C4A" w:rsidP="00AD3A46">
            <w:pPr>
              <w:rPr>
                <w:sz w:val="20"/>
              </w:rPr>
            </w:pPr>
            <w:r w:rsidRPr="00171C4A">
              <w:rPr>
                <w:sz w:val="20"/>
              </w:rPr>
              <w:t xml:space="preserve">2330 </w:t>
            </w:r>
            <w:r w:rsidR="001D4DFA" w:rsidRPr="00171C4A">
              <w:rPr>
                <w:sz w:val="20"/>
              </w:rPr>
              <w:t>6010</w:t>
            </w:r>
          </w:p>
          <w:p w:rsidR="00891246" w:rsidRPr="007C5E7C" w:rsidRDefault="00891246" w:rsidP="00AD3A46">
            <w:pPr>
              <w:rPr>
                <w:sz w:val="20"/>
              </w:rPr>
            </w:pPr>
          </w:p>
        </w:tc>
        <w:tc>
          <w:tcPr>
            <w:tcW w:w="1701" w:type="dxa"/>
          </w:tcPr>
          <w:p w:rsidR="00891246" w:rsidRDefault="00891246" w:rsidP="00AD3A46">
            <w:pPr>
              <w:rPr>
                <w:sz w:val="20"/>
              </w:rPr>
            </w:pPr>
          </w:p>
          <w:p w:rsidR="00891246" w:rsidRPr="006E0575" w:rsidRDefault="001D4DFA" w:rsidP="00AD3A46">
            <w:pPr>
              <w:rPr>
                <w:sz w:val="20"/>
              </w:rPr>
            </w:pPr>
            <w:r>
              <w:rPr>
                <w:sz w:val="20"/>
              </w:rPr>
              <w:t>Liegenschaftsamt</w:t>
            </w:r>
          </w:p>
        </w:tc>
        <w:tc>
          <w:tcPr>
            <w:tcW w:w="851" w:type="dxa"/>
          </w:tcPr>
          <w:p w:rsidR="00891246" w:rsidRDefault="00891246" w:rsidP="00AD3A46">
            <w:pPr>
              <w:rPr>
                <w:sz w:val="20"/>
              </w:rPr>
            </w:pPr>
          </w:p>
          <w:p w:rsidR="001D4DFA" w:rsidRDefault="001D4DFA" w:rsidP="00AD3A46">
            <w:pPr>
              <w:rPr>
                <w:sz w:val="20"/>
              </w:rPr>
            </w:pPr>
            <w:r>
              <w:rPr>
                <w:sz w:val="20"/>
              </w:rPr>
              <w:t>EG 11</w:t>
            </w:r>
          </w:p>
          <w:p w:rsidR="00071408" w:rsidRDefault="00071408" w:rsidP="00AD3A46">
            <w:pPr>
              <w:rPr>
                <w:sz w:val="20"/>
              </w:rPr>
            </w:pPr>
          </w:p>
          <w:p w:rsidR="00071408" w:rsidRDefault="00071408" w:rsidP="00AD3A46">
            <w:pPr>
              <w:rPr>
                <w:sz w:val="20"/>
              </w:rPr>
            </w:pPr>
            <w:r>
              <w:rPr>
                <w:sz w:val="20"/>
              </w:rPr>
              <w:t>EG 11</w:t>
            </w:r>
          </w:p>
          <w:p w:rsidR="00071408" w:rsidRDefault="00071408" w:rsidP="00AD3A46">
            <w:pPr>
              <w:rPr>
                <w:sz w:val="20"/>
              </w:rPr>
            </w:pPr>
          </w:p>
          <w:p w:rsidR="00071408" w:rsidRDefault="00071408" w:rsidP="00AD3A46">
            <w:pPr>
              <w:rPr>
                <w:sz w:val="20"/>
              </w:rPr>
            </w:pPr>
            <w:r>
              <w:rPr>
                <w:sz w:val="20"/>
              </w:rPr>
              <w:t>EG 11</w:t>
            </w:r>
          </w:p>
          <w:p w:rsidR="00071408" w:rsidRPr="006E0575" w:rsidRDefault="00071408" w:rsidP="00AD3A46">
            <w:pPr>
              <w:rPr>
                <w:sz w:val="20"/>
              </w:rPr>
            </w:pPr>
          </w:p>
        </w:tc>
        <w:tc>
          <w:tcPr>
            <w:tcW w:w="1701" w:type="dxa"/>
          </w:tcPr>
          <w:p w:rsidR="00891246" w:rsidRDefault="00891246" w:rsidP="00AD3A46">
            <w:pPr>
              <w:rPr>
                <w:sz w:val="20"/>
              </w:rPr>
            </w:pPr>
          </w:p>
          <w:p w:rsidR="00891246" w:rsidRPr="006E0575" w:rsidRDefault="001D4DFA" w:rsidP="000717F8">
            <w:pPr>
              <w:rPr>
                <w:sz w:val="20"/>
              </w:rPr>
            </w:pPr>
            <w:r>
              <w:rPr>
                <w:sz w:val="20"/>
              </w:rPr>
              <w:t>Sachbearbeiter</w:t>
            </w:r>
            <w:r w:rsidR="000717F8">
              <w:rPr>
                <w:sz w:val="20"/>
              </w:rPr>
              <w:t>/ -</w:t>
            </w:r>
            <w:r>
              <w:rPr>
                <w:sz w:val="20"/>
              </w:rPr>
              <w:t xml:space="preserve">in </w:t>
            </w:r>
          </w:p>
        </w:tc>
        <w:tc>
          <w:tcPr>
            <w:tcW w:w="851" w:type="dxa"/>
            <w:shd w:val="pct12" w:color="auto" w:fill="FFFFFF"/>
          </w:tcPr>
          <w:p w:rsidR="00891246" w:rsidRDefault="00891246" w:rsidP="00AD3A46">
            <w:pPr>
              <w:rPr>
                <w:sz w:val="20"/>
              </w:rPr>
            </w:pPr>
          </w:p>
          <w:p w:rsidR="00891246" w:rsidRDefault="000717F8" w:rsidP="00AD3A46">
            <w:pPr>
              <w:rPr>
                <w:sz w:val="20"/>
              </w:rPr>
            </w:pPr>
            <w:r>
              <w:rPr>
                <w:sz w:val="20"/>
              </w:rPr>
              <w:t>1,0</w:t>
            </w:r>
          </w:p>
          <w:p w:rsidR="000717F8" w:rsidRDefault="000717F8" w:rsidP="00AD3A46">
            <w:pPr>
              <w:rPr>
                <w:sz w:val="20"/>
              </w:rPr>
            </w:pPr>
          </w:p>
          <w:p w:rsidR="000717F8" w:rsidRDefault="000717F8" w:rsidP="00AD3A46">
            <w:pPr>
              <w:rPr>
                <w:sz w:val="20"/>
              </w:rPr>
            </w:pPr>
            <w:r>
              <w:rPr>
                <w:sz w:val="20"/>
              </w:rPr>
              <w:t>1,0</w:t>
            </w:r>
          </w:p>
          <w:p w:rsidR="000717F8" w:rsidRDefault="000717F8" w:rsidP="00AD3A46">
            <w:pPr>
              <w:rPr>
                <w:sz w:val="20"/>
              </w:rPr>
            </w:pPr>
          </w:p>
          <w:p w:rsidR="000717F8" w:rsidRPr="006E0575" w:rsidRDefault="000717F8" w:rsidP="00AD3A46">
            <w:pPr>
              <w:rPr>
                <w:sz w:val="20"/>
              </w:rPr>
            </w:pPr>
            <w:r>
              <w:rPr>
                <w:sz w:val="20"/>
              </w:rPr>
              <w:t>1,0</w:t>
            </w:r>
          </w:p>
        </w:tc>
        <w:tc>
          <w:tcPr>
            <w:tcW w:w="1134" w:type="dxa"/>
          </w:tcPr>
          <w:p w:rsidR="00891246" w:rsidRDefault="00891246" w:rsidP="00AD3A46">
            <w:pPr>
              <w:rPr>
                <w:sz w:val="20"/>
              </w:rPr>
            </w:pPr>
          </w:p>
          <w:p w:rsidR="00891246" w:rsidRDefault="000717F8" w:rsidP="00AD3A46">
            <w:pPr>
              <w:rPr>
                <w:sz w:val="20"/>
              </w:rPr>
            </w:pPr>
            <w:r>
              <w:rPr>
                <w:sz w:val="20"/>
              </w:rPr>
              <w:t xml:space="preserve">KW </w:t>
            </w:r>
            <w:r w:rsidR="007C5E7C">
              <w:rPr>
                <w:sz w:val="20"/>
              </w:rPr>
              <w:t>0</w:t>
            </w:r>
            <w:r w:rsidR="001D4DFA">
              <w:rPr>
                <w:sz w:val="20"/>
              </w:rPr>
              <w:t>1/2026</w:t>
            </w:r>
          </w:p>
          <w:p w:rsidR="007C5E7C" w:rsidRDefault="007C5E7C" w:rsidP="00AD3A46">
            <w:pPr>
              <w:rPr>
                <w:sz w:val="20"/>
              </w:rPr>
            </w:pPr>
          </w:p>
          <w:p w:rsidR="007C5E7C" w:rsidRPr="000717F8" w:rsidRDefault="000717F8" w:rsidP="00AD3A46">
            <w:pPr>
              <w:rPr>
                <w:b/>
                <w:sz w:val="20"/>
              </w:rPr>
            </w:pPr>
            <w:r w:rsidRPr="000717F8">
              <w:rPr>
                <w:b/>
                <w:sz w:val="20"/>
              </w:rPr>
              <w:t xml:space="preserve">KW </w:t>
            </w:r>
            <w:r w:rsidR="007C5E7C" w:rsidRPr="000717F8">
              <w:rPr>
                <w:b/>
                <w:sz w:val="20"/>
              </w:rPr>
              <w:t>01/2030</w:t>
            </w:r>
          </w:p>
        </w:tc>
        <w:tc>
          <w:tcPr>
            <w:tcW w:w="1588" w:type="dxa"/>
          </w:tcPr>
          <w:p w:rsidR="00891246" w:rsidRDefault="00891246" w:rsidP="00AD3A46">
            <w:pPr>
              <w:rPr>
                <w:sz w:val="20"/>
              </w:rPr>
            </w:pPr>
          </w:p>
          <w:p w:rsidR="001D4DFA" w:rsidRPr="006E0575" w:rsidRDefault="001D4DFA" w:rsidP="00AD3A46">
            <w:pPr>
              <w:rPr>
                <w:sz w:val="20"/>
              </w:rPr>
            </w:pPr>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1D4DFA" w:rsidRPr="001D4DFA" w:rsidRDefault="001D4DFA" w:rsidP="001D4DFA">
      <w:pPr>
        <w:rPr>
          <w:rFonts w:cs="Arial"/>
          <w:b/>
        </w:rPr>
      </w:pPr>
    </w:p>
    <w:p w:rsidR="001D4DFA" w:rsidRPr="001D4DFA" w:rsidRDefault="001D4DFA" w:rsidP="001D4DFA">
      <w:pPr>
        <w:rPr>
          <w:rFonts w:cs="Arial"/>
        </w:rPr>
      </w:pPr>
      <w:r w:rsidRPr="001D4DFA">
        <w:rPr>
          <w:rFonts w:cs="Arial"/>
        </w:rPr>
        <w:t>Die Stellen wurden im Bereich der Betreuung des Jugendamtes zum DHH 2014/2015 zunächst befristet geschaffen. Die Befristung bezog sich auf den konkreten Projektauftrag zur Schaffung der Platzkapazitäten für den in 2012 eingeführten Rechtsanspruch auf einen Betreuungsplatz für 0-</w:t>
      </w:r>
      <w:r w:rsidR="00E0227E" w:rsidRPr="001D4DFA">
        <w:rPr>
          <w:rFonts w:cs="Arial"/>
        </w:rPr>
        <w:t>3-jährige</w:t>
      </w:r>
      <w:r w:rsidRPr="001D4DFA">
        <w:rPr>
          <w:rFonts w:cs="Arial"/>
        </w:rPr>
        <w:t xml:space="preserve"> Kinder und war deshalb befristet, da davon ausgegangen wurde, dass die entsprechende Platzschaffung für Kleinkindplätze irgendwann als abgeschlossen betrachtet werden kann. Mittlerweile werden mit den auf diesen Stellen eingestellten Mitarbeitenden die Sanierungen und Aus- bzw. Neubauten für Tageseinrichtungen für Kinder mit und ohne Platzgewinn in Gänze abgearbeitet.</w:t>
      </w:r>
    </w:p>
    <w:p w:rsidR="001D4DFA" w:rsidRPr="001D4DFA" w:rsidRDefault="001D4DFA" w:rsidP="001D4DFA">
      <w:pPr>
        <w:rPr>
          <w:rFonts w:cs="Arial"/>
        </w:rPr>
      </w:pPr>
    </w:p>
    <w:p w:rsidR="001D4DFA" w:rsidRPr="001D4DFA" w:rsidRDefault="001D4DFA" w:rsidP="001D4DFA">
      <w:pPr>
        <w:rPr>
          <w:rFonts w:cs="Arial"/>
        </w:rPr>
      </w:pPr>
      <w:r w:rsidRPr="001D4DFA">
        <w:rPr>
          <w:rFonts w:cs="Arial"/>
        </w:rPr>
        <w:t>Aktuell werden von 4 Mitarbeitern insgesamt 47 Projekte aus den Doppelhaushalten 2014/2015, 2016/2017, 2018/2019, 2020/2021 und 2022/2023 bearbeitet. Zum Doppelhaushalt 2024/202</w:t>
      </w:r>
      <w:r w:rsidR="00067FE5">
        <w:rPr>
          <w:rFonts w:cs="Arial"/>
        </w:rPr>
        <w:t>5</w:t>
      </w:r>
      <w:bookmarkStart w:id="0" w:name="_GoBack"/>
      <w:bookmarkEnd w:id="0"/>
      <w:r w:rsidRPr="001D4DFA">
        <w:rPr>
          <w:rFonts w:cs="Arial"/>
        </w:rPr>
        <w:t xml:space="preserve"> sollen weitere 15 Projekte zur Umsetzung angemeldet werden. Zusätzlich liegen 14 bisher unbearbeitete Planungsaufträge des </w:t>
      </w:r>
      <w:r w:rsidR="00D118E6">
        <w:rPr>
          <w:rFonts w:cs="Arial"/>
        </w:rPr>
        <w:t xml:space="preserve">Jugendamtes zur Bearbeitung vor. </w:t>
      </w:r>
      <w:r w:rsidRPr="001D4DFA">
        <w:rPr>
          <w:rFonts w:cs="Arial"/>
        </w:rPr>
        <w:t xml:space="preserve">Darunter befinden sich auch die Neubaugebiete Bürgerhospital (23,5 Gruppen), Neckarpark (19 Gruppen) und Rosensteinviertel (155 Gruppen) für die ein erheblicher baulicher Bedarf besteht. </w:t>
      </w:r>
    </w:p>
    <w:p w:rsidR="001D4DFA" w:rsidRPr="001D4DFA" w:rsidRDefault="001D4DFA" w:rsidP="001D4DFA">
      <w:pPr>
        <w:rPr>
          <w:rFonts w:cs="Arial"/>
        </w:rPr>
      </w:pPr>
    </w:p>
    <w:p w:rsidR="001D4DFA" w:rsidRPr="001D4DFA" w:rsidRDefault="001D4DFA" w:rsidP="001D4DFA">
      <w:pPr>
        <w:rPr>
          <w:rFonts w:cs="Arial"/>
        </w:rPr>
      </w:pPr>
      <w:r w:rsidRPr="001D4DFA">
        <w:rPr>
          <w:rFonts w:cs="Arial"/>
        </w:rPr>
        <w:t>Auch zum Doppelhaushalt 2024/2025 sollen analog zu den Doppelhaushalten seit 2016/2017 weitere Tageseinrichtung für Kinder zur Prüfung hinsichtlich der Sanierung oder eines alternativen Abrisses und Neubaus vorgesehen werden. Entsprechend dem Statusbericht Tageseinrichtungen für Kinder (siehe GRDrs</w:t>
      </w:r>
      <w:r w:rsidR="00D928AA">
        <w:rPr>
          <w:rFonts w:cs="Arial"/>
        </w:rPr>
        <w:t>.</w:t>
      </w:r>
      <w:r w:rsidRPr="001D4DFA">
        <w:rPr>
          <w:rFonts w:cs="Arial"/>
        </w:rPr>
        <w:t xml:space="preserve"> 680/2016) befinden sich insgesamt noch 51 städtische Tageseinrichtungen im Gebäudealter </w:t>
      </w:r>
      <w:r w:rsidR="00D928AA">
        <w:rPr>
          <w:rFonts w:cs="Arial"/>
        </w:rPr>
        <w:t>über</w:t>
      </w:r>
      <w:r w:rsidRPr="001D4DFA">
        <w:rPr>
          <w:rFonts w:cs="Arial"/>
        </w:rPr>
        <w:t xml:space="preserve"> 30 Jahre. Perspektivisch muss daher davon ausgegangen werden, dass diese in naher Zukunft umfassen saniert oder abgerissen und neugebaut werden müssen.</w:t>
      </w:r>
    </w:p>
    <w:p w:rsidR="001D4DFA" w:rsidRPr="001D4DFA" w:rsidRDefault="001D4DFA" w:rsidP="001D4DFA">
      <w:pPr>
        <w:rPr>
          <w:rFonts w:cs="Arial"/>
        </w:rPr>
      </w:pPr>
    </w:p>
    <w:p w:rsidR="000867F8" w:rsidRPr="00E706D3" w:rsidRDefault="001D4DFA" w:rsidP="001D4DFA">
      <w:pPr>
        <w:rPr>
          <w:rFonts w:cs="Arial"/>
          <w:szCs w:val="20"/>
        </w:rPr>
      </w:pPr>
      <w:r w:rsidRPr="001D4DFA">
        <w:rPr>
          <w:rFonts w:cs="Arial"/>
        </w:rPr>
        <w:lastRenderedPageBreak/>
        <w:t xml:space="preserve">Bezugnehmend auf den </w:t>
      </w:r>
      <w:r w:rsidRPr="001D4DFA">
        <w:rPr>
          <w:rFonts w:cs="Arial"/>
          <w:color w:val="000000"/>
        </w:rPr>
        <w:t>Jahresbericht 2022 zur Entwicklung der Kindertagesbetreuung in Stuttgart (siehe GRDrs</w:t>
      </w:r>
      <w:r w:rsidR="00D928AA">
        <w:rPr>
          <w:rFonts w:cs="Arial"/>
          <w:color w:val="000000"/>
        </w:rPr>
        <w:t>.</w:t>
      </w:r>
      <w:r w:rsidRPr="001D4DFA">
        <w:rPr>
          <w:rFonts w:cs="Arial"/>
          <w:color w:val="000000"/>
        </w:rPr>
        <w:t xml:space="preserve"> 594/2022) schreitet d</w:t>
      </w:r>
      <w:r w:rsidRPr="001D4DFA">
        <w:rPr>
          <w:rFonts w:cs="Arial"/>
          <w:szCs w:val="20"/>
        </w:rPr>
        <w:t>er Platzausbau, insbesondere im Kleinkindbereich sowie im GT-Bereich für 3- bis 6-Jährige</w:t>
      </w:r>
      <w:r w:rsidR="00D928AA">
        <w:rPr>
          <w:rFonts w:cs="Arial"/>
          <w:szCs w:val="20"/>
        </w:rPr>
        <w:t>,</w:t>
      </w:r>
      <w:r w:rsidRPr="001D4DFA">
        <w:rPr>
          <w:rFonts w:cs="Arial"/>
          <w:szCs w:val="20"/>
        </w:rPr>
        <w:t xml:space="preserve"> voran. Neben dem Schwerpunkt der Gewinnung von Fachkräften und der Umsetzung der beschlossenen Maßnahmen bleibt die planerische Aufgabe, auf den noch vorhandenen und sich verändernden Bedarf zu reagieren. </w:t>
      </w:r>
    </w:p>
    <w:p w:rsidR="000867F8" w:rsidRDefault="000867F8" w:rsidP="001D4DFA">
      <w:pPr>
        <w:rPr>
          <w:color w:val="000000" w:themeColor="text1"/>
          <w:szCs w:val="20"/>
        </w:rPr>
      </w:pPr>
    </w:p>
    <w:p w:rsidR="000867F8" w:rsidRDefault="000867F8" w:rsidP="001D4DFA">
      <w:pPr>
        <w:rPr>
          <w:color w:val="000000" w:themeColor="text1"/>
          <w:szCs w:val="20"/>
        </w:rPr>
      </w:pPr>
      <w:r w:rsidRPr="001D4DFA">
        <w:rPr>
          <w:szCs w:val="20"/>
        </w:rPr>
        <w:t>Laut der bisher vorliegenden Einwohnerprognose des</w:t>
      </w:r>
      <w:r w:rsidR="00E0227E">
        <w:rPr>
          <w:szCs w:val="20"/>
        </w:rPr>
        <w:t xml:space="preserve"> Statistischen Amtes der Landes</w:t>
      </w:r>
      <w:r w:rsidRPr="001D4DFA">
        <w:rPr>
          <w:szCs w:val="20"/>
        </w:rPr>
        <w:t>hauptstadt Stuttgart steigt die Kinderzahl bis zum Jahr</w:t>
      </w:r>
      <w:r w:rsidR="00E0227E">
        <w:rPr>
          <w:szCs w:val="20"/>
        </w:rPr>
        <w:t xml:space="preserve"> 2025 auf rund 19.300 Kinder un</w:t>
      </w:r>
      <w:r w:rsidRPr="001D4DFA">
        <w:rPr>
          <w:szCs w:val="20"/>
        </w:rPr>
        <w:t>ter 3 Jahren. Auch bei den 3- bis 6-Jährigen ist nach der bi</w:t>
      </w:r>
      <w:r w:rsidR="00E706D3">
        <w:rPr>
          <w:szCs w:val="20"/>
        </w:rPr>
        <w:t>sher vorliegenden Einwohnerprog</w:t>
      </w:r>
      <w:r w:rsidRPr="001D4DFA">
        <w:rPr>
          <w:szCs w:val="20"/>
        </w:rPr>
        <w:t xml:space="preserve">nose des Statistischen Amtes der Landeshauptstadt Stuttgart mit steigenden Kinderzahlen </w:t>
      </w:r>
      <w:r w:rsidR="00E706D3" w:rsidRPr="001D4DFA">
        <w:rPr>
          <w:rFonts w:cs="Arial"/>
          <w:szCs w:val="20"/>
        </w:rPr>
        <w:t xml:space="preserve">durch Zuwanderung und steigende Geburtenzahlen </w:t>
      </w:r>
      <w:r w:rsidRPr="001D4DFA">
        <w:rPr>
          <w:szCs w:val="20"/>
        </w:rPr>
        <w:t>zu rechnen.</w:t>
      </w:r>
    </w:p>
    <w:p w:rsidR="000867F8" w:rsidRDefault="000867F8" w:rsidP="001D4DFA">
      <w:pPr>
        <w:rPr>
          <w:color w:val="000000" w:themeColor="text1"/>
          <w:szCs w:val="20"/>
        </w:rPr>
      </w:pPr>
    </w:p>
    <w:p w:rsidR="001D4DFA" w:rsidRPr="00E706D3" w:rsidRDefault="001D4DFA" w:rsidP="001D4DFA">
      <w:pPr>
        <w:rPr>
          <w:color w:val="000000" w:themeColor="text1"/>
          <w:szCs w:val="20"/>
        </w:rPr>
      </w:pPr>
      <w:r w:rsidRPr="001D4DFA">
        <w:rPr>
          <w:color w:val="000000" w:themeColor="text1"/>
          <w:szCs w:val="20"/>
        </w:rPr>
        <w:t xml:space="preserve">Je nachdem, wie sich die Kinderzahlen, die laut derzeitiger Prognose auch noch über das Jahr 2025 hinaus ansteigen werden, tatsächlich entwickeln und ob alle Plätze wie geplant umsetzbar sind, wird es auch </w:t>
      </w:r>
      <w:r w:rsidRPr="00E706D3">
        <w:rPr>
          <w:color w:val="000000" w:themeColor="text1"/>
          <w:szCs w:val="20"/>
        </w:rPr>
        <w:t xml:space="preserve">weiterhin erforderlich sein, zusätzliche Plätze </w:t>
      </w:r>
      <w:r w:rsidR="000867F8" w:rsidRPr="00E706D3">
        <w:rPr>
          <w:color w:val="000000" w:themeColor="text1"/>
          <w:szCs w:val="20"/>
        </w:rPr>
        <w:t xml:space="preserve">sowohl für den Bereich der </w:t>
      </w:r>
      <w:r w:rsidR="000867F8" w:rsidRPr="00E706D3">
        <w:rPr>
          <w:szCs w:val="20"/>
        </w:rPr>
        <w:t>unter 3-Jährigen als auch</w:t>
      </w:r>
      <w:r w:rsidR="000867F8" w:rsidRPr="00E706D3">
        <w:rPr>
          <w:color w:val="000000" w:themeColor="text1"/>
          <w:szCs w:val="20"/>
        </w:rPr>
        <w:t xml:space="preserve"> </w:t>
      </w:r>
      <w:r w:rsidRPr="00E706D3">
        <w:rPr>
          <w:color w:val="000000" w:themeColor="text1"/>
          <w:szCs w:val="20"/>
        </w:rPr>
        <w:t xml:space="preserve">für </w:t>
      </w:r>
      <w:r w:rsidR="000867F8" w:rsidRPr="00E706D3">
        <w:rPr>
          <w:color w:val="000000" w:themeColor="text1"/>
          <w:szCs w:val="20"/>
        </w:rPr>
        <w:t xml:space="preserve">den Bereich der </w:t>
      </w:r>
      <w:r w:rsidRPr="00E706D3">
        <w:rPr>
          <w:color w:val="000000" w:themeColor="text1"/>
          <w:szCs w:val="20"/>
        </w:rPr>
        <w:t>3- bis 6-Jährige</w:t>
      </w:r>
      <w:r w:rsidR="000867F8" w:rsidRPr="00E706D3">
        <w:rPr>
          <w:color w:val="000000" w:themeColor="text1"/>
          <w:szCs w:val="20"/>
        </w:rPr>
        <w:t>n</w:t>
      </w:r>
      <w:r w:rsidRPr="00E706D3">
        <w:rPr>
          <w:color w:val="000000" w:themeColor="text1"/>
          <w:szCs w:val="20"/>
        </w:rPr>
        <w:t xml:space="preserve"> zu planen.</w:t>
      </w:r>
    </w:p>
    <w:p w:rsidR="001D4DFA" w:rsidRPr="001D4DFA" w:rsidRDefault="001D4DFA" w:rsidP="001D4DFA">
      <w:pPr>
        <w:rPr>
          <w:rFonts w:cs="Arial"/>
          <w:b/>
          <w:szCs w:val="20"/>
        </w:rPr>
      </w:pPr>
    </w:p>
    <w:p w:rsidR="001D4DFA" w:rsidRPr="001D4DFA" w:rsidRDefault="001D4DFA" w:rsidP="001D4DFA">
      <w:pPr>
        <w:rPr>
          <w:rFonts w:cs="Arial"/>
        </w:rPr>
      </w:pPr>
      <w:r w:rsidRPr="001D4DFA">
        <w:rPr>
          <w:rFonts w:cs="Arial"/>
        </w:rPr>
        <w:t xml:space="preserve">Die in 2016 fertiggestellten Tageseinrichtungen für Kinder hatten insgesamt eine durchschnittliche Projektlaufzeit von </w:t>
      </w:r>
      <w:r w:rsidR="00D928AA">
        <w:rPr>
          <w:rFonts w:cs="Arial"/>
        </w:rPr>
        <w:t xml:space="preserve">ca. </w:t>
      </w:r>
      <w:r w:rsidRPr="001D4DFA">
        <w:rPr>
          <w:rFonts w:cs="Arial"/>
        </w:rPr>
        <w:t>61 Monaten/ca. 5 Jahren beginnend mit dem Prüfauftrag des Jugendamts und endend mit der Übergabe des fertigen Gebäudes an das Jugendamt oder einen freien Träger.</w:t>
      </w:r>
    </w:p>
    <w:p w:rsidR="001D4DFA" w:rsidRPr="001D4DFA" w:rsidRDefault="001D4DFA" w:rsidP="001D4DFA">
      <w:pPr>
        <w:rPr>
          <w:rFonts w:cs="Arial"/>
        </w:rPr>
      </w:pPr>
    </w:p>
    <w:p w:rsidR="001D4DFA" w:rsidRPr="001D4DFA" w:rsidRDefault="001D4DFA" w:rsidP="001D4DFA">
      <w:pPr>
        <w:rPr>
          <w:rFonts w:cs="Arial"/>
        </w:rPr>
      </w:pPr>
      <w:r w:rsidRPr="001D4DFA">
        <w:rPr>
          <w:rFonts w:cs="Arial"/>
        </w:rPr>
        <w:t>Im Schnitt kann ein Mitarbeiter ca. 10 Projekte betreuen (siehe Anlage 12 zur GRDrs</w:t>
      </w:r>
      <w:r w:rsidR="00D928AA">
        <w:rPr>
          <w:rFonts w:cs="Arial"/>
        </w:rPr>
        <w:t>.</w:t>
      </w:r>
      <w:r w:rsidRPr="001D4DFA">
        <w:rPr>
          <w:rFonts w:cs="Arial"/>
        </w:rPr>
        <w:t xml:space="preserve"> 858/2013 Ergänzung). Davon ausgehend, dass 1 Sachbearbeiter maximal 15-20 Projekte gleichzeitig betreuen kann, </w:t>
      </w:r>
      <w:r w:rsidR="00D118E6">
        <w:rPr>
          <w:rFonts w:cs="Arial"/>
        </w:rPr>
        <w:t>werden</w:t>
      </w:r>
      <w:r w:rsidRPr="001D4DFA">
        <w:rPr>
          <w:rFonts w:cs="Arial"/>
        </w:rPr>
        <w:t xml:space="preserve"> die 3</w:t>
      </w:r>
      <w:r w:rsidR="00D118E6">
        <w:rPr>
          <w:rFonts w:cs="Arial"/>
        </w:rPr>
        <w:t>,0</w:t>
      </w:r>
      <w:r w:rsidRPr="001D4DFA">
        <w:rPr>
          <w:rFonts w:cs="Arial"/>
        </w:rPr>
        <w:t xml:space="preserve"> Stellen </w:t>
      </w:r>
      <w:r w:rsidR="00D118E6">
        <w:rPr>
          <w:rFonts w:cs="Arial"/>
        </w:rPr>
        <w:t>weiterhin benötigt</w:t>
      </w:r>
      <w:r w:rsidRPr="001D4DFA">
        <w:rPr>
          <w:rFonts w:cs="Arial"/>
        </w:rPr>
        <w:t xml:space="preserve"> und </w:t>
      </w:r>
      <w:r w:rsidR="00D118E6">
        <w:rPr>
          <w:rFonts w:cs="Arial"/>
        </w:rPr>
        <w:t>sollen um weitere 4 Jahre verlängert werden</w:t>
      </w:r>
      <w:r w:rsidRPr="001D4DFA">
        <w:rPr>
          <w:rFonts w:cs="Arial"/>
        </w:rPr>
        <w:t>.</w:t>
      </w:r>
    </w:p>
    <w:p w:rsidR="001D4DFA" w:rsidRPr="001D4DFA" w:rsidRDefault="001D4DFA" w:rsidP="001D4DFA">
      <w:pPr>
        <w:rPr>
          <w:rFonts w:cs="Arial"/>
        </w:rPr>
      </w:pPr>
    </w:p>
    <w:sectPr w:rsidR="001D4DFA" w:rsidRPr="001D4DFA"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FA" w:rsidRDefault="001D4DFA">
      <w:r>
        <w:separator/>
      </w:r>
    </w:p>
  </w:endnote>
  <w:endnote w:type="continuationSeparator" w:id="0">
    <w:p w:rsidR="001D4DFA" w:rsidRDefault="001D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FA" w:rsidRDefault="001D4DFA">
      <w:r>
        <w:separator/>
      </w:r>
    </w:p>
  </w:footnote>
  <w:footnote w:type="continuationSeparator" w:id="0">
    <w:p w:rsidR="001D4DFA" w:rsidRDefault="001D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067FE5">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FA"/>
    <w:rsid w:val="00067FE5"/>
    <w:rsid w:val="00071408"/>
    <w:rsid w:val="000717F8"/>
    <w:rsid w:val="000867F8"/>
    <w:rsid w:val="000A1146"/>
    <w:rsid w:val="001058DD"/>
    <w:rsid w:val="00165C0D"/>
    <w:rsid w:val="00171C4A"/>
    <w:rsid w:val="00181857"/>
    <w:rsid w:val="001D4DFA"/>
    <w:rsid w:val="001F5D9F"/>
    <w:rsid w:val="002058C2"/>
    <w:rsid w:val="002073FE"/>
    <w:rsid w:val="00213C7A"/>
    <w:rsid w:val="002812E4"/>
    <w:rsid w:val="002924CB"/>
    <w:rsid w:val="002A664A"/>
    <w:rsid w:val="002B6783"/>
    <w:rsid w:val="002C2BCF"/>
    <w:rsid w:val="003237BB"/>
    <w:rsid w:val="00361333"/>
    <w:rsid w:val="003A7A41"/>
    <w:rsid w:val="003D5196"/>
    <w:rsid w:val="003D7B0B"/>
    <w:rsid w:val="003F20FE"/>
    <w:rsid w:val="00406723"/>
    <w:rsid w:val="0041232E"/>
    <w:rsid w:val="004920E9"/>
    <w:rsid w:val="004B6796"/>
    <w:rsid w:val="004D7F89"/>
    <w:rsid w:val="00537E08"/>
    <w:rsid w:val="005778E9"/>
    <w:rsid w:val="005E7511"/>
    <w:rsid w:val="005E7A74"/>
    <w:rsid w:val="0060281A"/>
    <w:rsid w:val="00694161"/>
    <w:rsid w:val="006B7B06"/>
    <w:rsid w:val="006C1AC2"/>
    <w:rsid w:val="006E0575"/>
    <w:rsid w:val="00701699"/>
    <w:rsid w:val="00746A71"/>
    <w:rsid w:val="00767369"/>
    <w:rsid w:val="00796600"/>
    <w:rsid w:val="007B5FE2"/>
    <w:rsid w:val="007C5E7C"/>
    <w:rsid w:val="0083052F"/>
    <w:rsid w:val="00840569"/>
    <w:rsid w:val="00884D6C"/>
    <w:rsid w:val="00891246"/>
    <w:rsid w:val="00893E55"/>
    <w:rsid w:val="008A1899"/>
    <w:rsid w:val="00974FF9"/>
    <w:rsid w:val="00984AC4"/>
    <w:rsid w:val="00995EBD"/>
    <w:rsid w:val="009B0FBE"/>
    <w:rsid w:val="00A206E5"/>
    <w:rsid w:val="00A34898"/>
    <w:rsid w:val="00A77F1E"/>
    <w:rsid w:val="00A8778F"/>
    <w:rsid w:val="00AB0D1F"/>
    <w:rsid w:val="00AD3A46"/>
    <w:rsid w:val="00AF120D"/>
    <w:rsid w:val="00B04290"/>
    <w:rsid w:val="00B238D8"/>
    <w:rsid w:val="00B80DEF"/>
    <w:rsid w:val="00C42332"/>
    <w:rsid w:val="00C448D3"/>
    <w:rsid w:val="00CD0B27"/>
    <w:rsid w:val="00CE7D5B"/>
    <w:rsid w:val="00D118E6"/>
    <w:rsid w:val="00D15184"/>
    <w:rsid w:val="00D24277"/>
    <w:rsid w:val="00D544BF"/>
    <w:rsid w:val="00D60BEF"/>
    <w:rsid w:val="00D928AA"/>
    <w:rsid w:val="00DA24CD"/>
    <w:rsid w:val="00DA701E"/>
    <w:rsid w:val="00DB315E"/>
    <w:rsid w:val="00DE32BA"/>
    <w:rsid w:val="00DF268B"/>
    <w:rsid w:val="00DF3470"/>
    <w:rsid w:val="00E0227E"/>
    <w:rsid w:val="00E1162F"/>
    <w:rsid w:val="00E11D5F"/>
    <w:rsid w:val="00E24307"/>
    <w:rsid w:val="00E248AF"/>
    <w:rsid w:val="00E37194"/>
    <w:rsid w:val="00E706D3"/>
    <w:rsid w:val="00E917F3"/>
    <w:rsid w:val="00EB1FB5"/>
    <w:rsid w:val="00F00C79"/>
    <w:rsid w:val="00F132FA"/>
    <w:rsid w:val="00F27657"/>
    <w:rsid w:val="00F27BB8"/>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A2632"/>
  <w15:docId w15:val="{7FA321FF-D520-4483-BCC6-4F06F405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071408"/>
    <w:rPr>
      <w:rFonts w:ascii="Segoe UI" w:hAnsi="Segoe UI" w:cs="Segoe UI"/>
      <w:sz w:val="18"/>
      <w:szCs w:val="18"/>
    </w:rPr>
  </w:style>
  <w:style w:type="character" w:customStyle="1" w:styleId="SprechblasentextZchn">
    <w:name w:val="Sprechblasentext Zchn"/>
    <w:basedOn w:val="Absatz-Standardschriftart"/>
    <w:link w:val="Sprechblasentext"/>
    <w:semiHidden/>
    <w:rsid w:val="00071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32208\Downloads\l112_muster-wegfall-stellenvermerk-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A20F-0A8B-4425-8380-64B0812D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l112_muster-wegfall-stellenvermerk-1.dotx</Template>
  <TotalTime>0</TotalTime>
  <Pages>2</Pages>
  <Words>512</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Schindler, Susanne</dc:creator>
  <dc:description/>
  <cp:lastModifiedBy>Baumann, Gerhard</cp:lastModifiedBy>
  <cp:revision>11</cp:revision>
  <cp:lastPrinted>2023-10-06T06:06:00Z</cp:lastPrinted>
  <dcterms:created xsi:type="dcterms:W3CDTF">2023-07-27T11:07:00Z</dcterms:created>
  <dcterms:modified xsi:type="dcterms:W3CDTF">2023-10-06T06:06:00Z</dcterms:modified>
</cp:coreProperties>
</file>