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4A" w:rsidRPr="00354446" w:rsidRDefault="00C0684A" w:rsidP="00C0684A">
      <w:pPr>
        <w:tabs>
          <w:tab w:val="left" w:pos="5812"/>
        </w:tabs>
        <w:jc w:val="right"/>
      </w:pPr>
      <w:r w:rsidRPr="00354446">
        <w:rPr>
          <w:szCs w:val="24"/>
        </w:rPr>
        <w:t xml:space="preserve">Anlage </w:t>
      </w:r>
      <w:r w:rsidR="00862CAC">
        <w:rPr>
          <w:szCs w:val="24"/>
        </w:rPr>
        <w:t>7</w:t>
      </w:r>
      <w:r w:rsidR="00784C19" w:rsidRPr="00354446">
        <w:rPr>
          <w:szCs w:val="24"/>
        </w:rPr>
        <w:fldChar w:fldCharType="begin"/>
      </w:r>
      <w:r w:rsidRPr="00354446">
        <w:rPr>
          <w:szCs w:val="24"/>
        </w:rPr>
        <w:instrText xml:space="preserve"> FILLIN ""</w:instrText>
      </w:r>
      <w:r w:rsidR="00784C19" w:rsidRPr="00354446">
        <w:rPr>
          <w:szCs w:val="24"/>
        </w:rPr>
        <w:fldChar w:fldCharType="end"/>
      </w:r>
      <w:r w:rsidRPr="00354446">
        <w:rPr>
          <w:szCs w:val="24"/>
        </w:rPr>
        <w:t xml:space="preserve"> zur GRDrs </w:t>
      </w:r>
      <w:r w:rsidR="00303F27">
        <w:rPr>
          <w:szCs w:val="24"/>
        </w:rPr>
        <w:t>831</w:t>
      </w:r>
      <w:r w:rsidR="001E1892" w:rsidRPr="00354446">
        <w:rPr>
          <w:szCs w:val="24"/>
        </w:rPr>
        <w:t>/2017</w:t>
      </w:r>
    </w:p>
    <w:p w:rsidR="00C0684A" w:rsidRPr="00354446" w:rsidRDefault="00C0684A" w:rsidP="00C0684A"/>
    <w:p w:rsidR="00862CAC" w:rsidRDefault="00862CAC" w:rsidP="00862CAC">
      <w:pPr>
        <w:tabs>
          <w:tab w:val="left" w:pos="6521"/>
        </w:tabs>
        <w:jc w:val="center"/>
        <w:rPr>
          <w:b/>
          <w:sz w:val="36"/>
        </w:rPr>
      </w:pPr>
      <w:r>
        <w:rPr>
          <w:b/>
          <w:sz w:val="36"/>
          <w:u w:val="single"/>
        </w:rPr>
        <w:t>Stellenschaffun</w:t>
      </w:r>
      <w:r w:rsidRPr="00184EDC">
        <w:rPr>
          <w:b/>
          <w:sz w:val="36"/>
          <w:u w:val="single"/>
        </w:rPr>
        <w:t>g</w:t>
      </w:r>
    </w:p>
    <w:p w:rsidR="00862CAC" w:rsidRPr="00341F1E" w:rsidRDefault="00862CAC" w:rsidP="00862CAC">
      <w:pPr>
        <w:tabs>
          <w:tab w:val="left" w:pos="6521"/>
        </w:tabs>
        <w:jc w:val="center"/>
        <w:rPr>
          <w:b/>
          <w:sz w:val="36"/>
          <w:u w:val="single"/>
        </w:rPr>
      </w:pPr>
      <w:r>
        <w:rPr>
          <w:b/>
          <w:sz w:val="36"/>
          <w:u w:val="single"/>
        </w:rPr>
        <w:t>zum</w:t>
      </w:r>
      <w:r w:rsidRPr="00341F1E">
        <w:rPr>
          <w:b/>
          <w:sz w:val="36"/>
          <w:u w:val="single"/>
        </w:rPr>
        <w:t xml:space="preserve"> Stellenplan 201</w:t>
      </w:r>
      <w:r>
        <w:rPr>
          <w:b/>
          <w:sz w:val="36"/>
          <w:u w:val="single"/>
        </w:rPr>
        <w:t>8</w:t>
      </w:r>
    </w:p>
    <w:p w:rsidR="00DA489C" w:rsidRPr="00354446" w:rsidRDefault="00DA489C" w:rsidP="00C0684A"/>
    <w:p w:rsidR="00852F37" w:rsidRDefault="00852F37" w:rsidP="00C0684A"/>
    <w:tbl>
      <w:tblPr>
        <w:tblW w:w="95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
        <w:gridCol w:w="1804"/>
        <w:gridCol w:w="10"/>
        <w:gridCol w:w="1691"/>
        <w:gridCol w:w="10"/>
        <w:gridCol w:w="784"/>
        <w:gridCol w:w="10"/>
        <w:gridCol w:w="1918"/>
        <w:gridCol w:w="10"/>
        <w:gridCol w:w="727"/>
        <w:gridCol w:w="10"/>
        <w:gridCol w:w="1124"/>
        <w:gridCol w:w="10"/>
        <w:gridCol w:w="1417"/>
        <w:gridCol w:w="10"/>
      </w:tblGrid>
      <w:tr w:rsidR="00862CAC" w:rsidRPr="006E0575" w:rsidTr="00862CAC">
        <w:trPr>
          <w:gridBefore w:val="1"/>
          <w:gridAfter w:val="1"/>
          <w:wBefore w:w="10" w:type="dxa"/>
          <w:wAfter w:w="10" w:type="dxa"/>
          <w:tblHeader/>
        </w:trPr>
        <w:tc>
          <w:tcPr>
            <w:tcW w:w="1814" w:type="dxa"/>
            <w:gridSpan w:val="2"/>
            <w:shd w:val="pct12" w:color="auto" w:fill="FFFFFF"/>
            <w:vAlign w:val="center"/>
          </w:tcPr>
          <w:p w:rsidR="00862CAC" w:rsidRPr="006E0575" w:rsidRDefault="00862CAC" w:rsidP="009A753F">
            <w:pPr>
              <w:spacing w:before="60" w:after="60" w:line="200" w:lineRule="exact"/>
              <w:ind w:left="-85" w:right="-85"/>
              <w:rPr>
                <w:sz w:val="16"/>
                <w:szCs w:val="16"/>
              </w:rPr>
            </w:pPr>
            <w:r>
              <w:rPr>
                <w:sz w:val="16"/>
                <w:szCs w:val="16"/>
              </w:rPr>
              <w:t xml:space="preserve"> </w:t>
            </w:r>
            <w:r w:rsidRPr="006E0575">
              <w:rPr>
                <w:sz w:val="16"/>
                <w:szCs w:val="16"/>
              </w:rPr>
              <w:t>Org.</w:t>
            </w:r>
            <w:r>
              <w:rPr>
                <w:sz w:val="16"/>
                <w:szCs w:val="16"/>
              </w:rPr>
              <w:t>-E</w:t>
            </w:r>
            <w:r w:rsidRPr="006E0575">
              <w:rPr>
                <w:sz w:val="16"/>
                <w:szCs w:val="16"/>
              </w:rPr>
              <w:t>inheit</w:t>
            </w:r>
            <w:r w:rsidRPr="006E0575">
              <w:rPr>
                <w:sz w:val="16"/>
                <w:szCs w:val="16"/>
              </w:rPr>
              <w:br/>
            </w:r>
            <w:r>
              <w:rPr>
                <w:sz w:val="16"/>
                <w:szCs w:val="16"/>
              </w:rPr>
              <w:br/>
              <w:t xml:space="preserve"> Kostenstelle</w:t>
            </w:r>
          </w:p>
        </w:tc>
        <w:tc>
          <w:tcPr>
            <w:tcW w:w="1701" w:type="dxa"/>
            <w:gridSpan w:val="2"/>
            <w:shd w:val="pct12" w:color="auto" w:fill="FFFFFF"/>
            <w:vAlign w:val="center"/>
          </w:tcPr>
          <w:p w:rsidR="00862CAC" w:rsidRPr="006E0575" w:rsidRDefault="00862CAC" w:rsidP="009A753F">
            <w:pPr>
              <w:spacing w:before="60" w:after="60" w:line="200" w:lineRule="exact"/>
              <w:ind w:left="-85" w:right="-85"/>
              <w:rPr>
                <w:sz w:val="16"/>
                <w:szCs w:val="16"/>
              </w:rPr>
            </w:pPr>
            <w:r>
              <w:rPr>
                <w:sz w:val="16"/>
                <w:szCs w:val="16"/>
              </w:rPr>
              <w:t xml:space="preserve"> </w:t>
            </w:r>
            <w:r w:rsidRPr="006E0575">
              <w:rPr>
                <w:sz w:val="16"/>
                <w:szCs w:val="16"/>
              </w:rPr>
              <w:t>Amt</w:t>
            </w:r>
          </w:p>
        </w:tc>
        <w:tc>
          <w:tcPr>
            <w:tcW w:w="794" w:type="dxa"/>
            <w:gridSpan w:val="2"/>
            <w:shd w:val="pct12" w:color="auto" w:fill="FFFFFF"/>
            <w:vAlign w:val="center"/>
          </w:tcPr>
          <w:p w:rsidR="00862CAC" w:rsidRDefault="00862CAC" w:rsidP="009A753F">
            <w:pPr>
              <w:spacing w:before="60" w:after="60" w:line="200" w:lineRule="exact"/>
              <w:ind w:left="-85" w:right="-85"/>
              <w:rPr>
                <w:sz w:val="16"/>
                <w:szCs w:val="16"/>
              </w:rPr>
            </w:pPr>
            <w:r>
              <w:rPr>
                <w:sz w:val="16"/>
                <w:szCs w:val="16"/>
              </w:rPr>
              <w:t xml:space="preserve"> BesGr.</w:t>
            </w:r>
          </w:p>
          <w:p w:rsidR="00862CAC" w:rsidRDefault="00862CAC" w:rsidP="009A753F">
            <w:pPr>
              <w:spacing w:before="60" w:after="60" w:line="200" w:lineRule="exact"/>
              <w:ind w:left="-85" w:right="-85"/>
              <w:rPr>
                <w:sz w:val="16"/>
                <w:szCs w:val="16"/>
              </w:rPr>
            </w:pPr>
            <w:r>
              <w:rPr>
                <w:sz w:val="16"/>
                <w:szCs w:val="16"/>
              </w:rPr>
              <w:t xml:space="preserve"> oder</w:t>
            </w:r>
          </w:p>
          <w:p w:rsidR="00862CAC" w:rsidRPr="006E0575" w:rsidRDefault="00862CAC" w:rsidP="009A753F">
            <w:pPr>
              <w:spacing w:before="60" w:after="60" w:line="200" w:lineRule="exact"/>
              <w:ind w:left="-85" w:right="-85"/>
              <w:rPr>
                <w:sz w:val="16"/>
                <w:szCs w:val="16"/>
              </w:rPr>
            </w:pPr>
            <w:r>
              <w:rPr>
                <w:sz w:val="16"/>
                <w:szCs w:val="16"/>
              </w:rPr>
              <w:t xml:space="preserve"> EG</w:t>
            </w:r>
          </w:p>
        </w:tc>
        <w:tc>
          <w:tcPr>
            <w:tcW w:w="1928" w:type="dxa"/>
            <w:gridSpan w:val="2"/>
            <w:shd w:val="pct12" w:color="auto" w:fill="FFFFFF"/>
            <w:vAlign w:val="center"/>
          </w:tcPr>
          <w:p w:rsidR="00862CAC" w:rsidRPr="006E0575" w:rsidRDefault="00862CAC" w:rsidP="009A753F">
            <w:pPr>
              <w:spacing w:before="60" w:after="60" w:line="200" w:lineRule="exact"/>
              <w:ind w:left="-85" w:right="-85"/>
              <w:rPr>
                <w:sz w:val="16"/>
                <w:szCs w:val="16"/>
              </w:rPr>
            </w:pPr>
            <w:r>
              <w:rPr>
                <w:sz w:val="16"/>
                <w:szCs w:val="16"/>
              </w:rPr>
              <w:t xml:space="preserve"> </w:t>
            </w:r>
            <w:r w:rsidRPr="006E0575">
              <w:rPr>
                <w:sz w:val="16"/>
                <w:szCs w:val="16"/>
              </w:rPr>
              <w:t>Funktionsbezeichnung</w:t>
            </w:r>
          </w:p>
        </w:tc>
        <w:tc>
          <w:tcPr>
            <w:tcW w:w="737" w:type="dxa"/>
            <w:gridSpan w:val="2"/>
            <w:shd w:val="pct12" w:color="auto" w:fill="FFFFFF"/>
            <w:vAlign w:val="center"/>
          </w:tcPr>
          <w:p w:rsidR="00862CAC" w:rsidRPr="006E0575" w:rsidRDefault="00862CAC" w:rsidP="009A753F">
            <w:pPr>
              <w:spacing w:before="60" w:after="60" w:line="200" w:lineRule="exact"/>
              <w:ind w:left="-85" w:right="-85"/>
              <w:rPr>
                <w:sz w:val="16"/>
                <w:szCs w:val="16"/>
              </w:rPr>
            </w:pPr>
            <w:r>
              <w:rPr>
                <w:sz w:val="16"/>
                <w:szCs w:val="16"/>
              </w:rPr>
              <w:t xml:space="preserve"> </w:t>
            </w:r>
            <w:r w:rsidRPr="006E0575">
              <w:rPr>
                <w:sz w:val="16"/>
                <w:szCs w:val="16"/>
              </w:rPr>
              <w:t>Anzahl</w:t>
            </w:r>
            <w:r>
              <w:rPr>
                <w:sz w:val="16"/>
                <w:szCs w:val="16"/>
              </w:rPr>
              <w:br/>
              <w:t xml:space="preserve"> </w:t>
            </w:r>
            <w:r w:rsidRPr="006E0575">
              <w:rPr>
                <w:sz w:val="16"/>
                <w:szCs w:val="16"/>
              </w:rPr>
              <w:t>der</w:t>
            </w:r>
            <w:r w:rsidRPr="006E0575">
              <w:rPr>
                <w:sz w:val="16"/>
                <w:szCs w:val="16"/>
              </w:rPr>
              <w:br/>
            </w:r>
            <w:r>
              <w:rPr>
                <w:sz w:val="16"/>
                <w:szCs w:val="16"/>
              </w:rPr>
              <w:t xml:space="preserve"> </w:t>
            </w:r>
            <w:r w:rsidRPr="006E0575">
              <w:rPr>
                <w:sz w:val="16"/>
                <w:szCs w:val="16"/>
              </w:rPr>
              <w:t>Stellen</w:t>
            </w:r>
          </w:p>
        </w:tc>
        <w:tc>
          <w:tcPr>
            <w:tcW w:w="1134" w:type="dxa"/>
            <w:gridSpan w:val="2"/>
            <w:shd w:val="pct12" w:color="auto" w:fill="FFFFFF"/>
            <w:vAlign w:val="center"/>
          </w:tcPr>
          <w:p w:rsidR="00862CAC" w:rsidRPr="006E0575" w:rsidRDefault="00862CAC" w:rsidP="009A753F">
            <w:pPr>
              <w:spacing w:before="60" w:after="60" w:line="200" w:lineRule="exact"/>
              <w:ind w:left="-85" w:right="-85"/>
              <w:rPr>
                <w:sz w:val="16"/>
                <w:szCs w:val="16"/>
              </w:rPr>
            </w:pPr>
            <w:r>
              <w:rPr>
                <w:sz w:val="16"/>
                <w:szCs w:val="16"/>
              </w:rPr>
              <w:t xml:space="preserve"> </w:t>
            </w:r>
            <w:r w:rsidRPr="006E0575">
              <w:rPr>
                <w:sz w:val="16"/>
                <w:szCs w:val="16"/>
              </w:rPr>
              <w:t>Stellen-</w:t>
            </w:r>
            <w:r w:rsidRPr="006E0575">
              <w:rPr>
                <w:sz w:val="16"/>
                <w:szCs w:val="16"/>
              </w:rPr>
              <w:br/>
            </w:r>
            <w:r>
              <w:rPr>
                <w:sz w:val="16"/>
                <w:szCs w:val="16"/>
              </w:rPr>
              <w:t xml:space="preserve"> </w:t>
            </w:r>
            <w:r w:rsidRPr="006E0575">
              <w:rPr>
                <w:sz w:val="16"/>
                <w:szCs w:val="16"/>
              </w:rPr>
              <w:t>vermerk</w:t>
            </w:r>
          </w:p>
        </w:tc>
        <w:tc>
          <w:tcPr>
            <w:tcW w:w="1417" w:type="dxa"/>
            <w:shd w:val="pct12" w:color="auto" w:fill="FFFFFF"/>
            <w:vAlign w:val="center"/>
          </w:tcPr>
          <w:p w:rsidR="00862CAC" w:rsidRPr="006E0575" w:rsidRDefault="00862CAC" w:rsidP="009A753F">
            <w:pPr>
              <w:spacing w:before="60" w:after="60" w:line="200" w:lineRule="exact"/>
              <w:ind w:left="-85" w:right="-85"/>
              <w:rPr>
                <w:sz w:val="16"/>
                <w:szCs w:val="16"/>
              </w:rPr>
            </w:pPr>
            <w:r>
              <w:rPr>
                <w:sz w:val="16"/>
                <w:szCs w:val="16"/>
              </w:rPr>
              <w:t xml:space="preserve"> d</w:t>
            </w:r>
            <w:r w:rsidRPr="006E0575">
              <w:rPr>
                <w:sz w:val="16"/>
                <w:szCs w:val="16"/>
              </w:rPr>
              <w:t>urchschnittl.</w:t>
            </w:r>
            <w:r>
              <w:rPr>
                <w:sz w:val="16"/>
                <w:szCs w:val="16"/>
              </w:rPr>
              <w:t xml:space="preserve"> jährl.</w:t>
            </w:r>
            <w:r>
              <w:rPr>
                <w:sz w:val="16"/>
                <w:szCs w:val="16"/>
              </w:rPr>
              <w:br/>
              <w:t xml:space="preserve"> kostenwirksamer</w:t>
            </w:r>
            <w:r>
              <w:rPr>
                <w:sz w:val="16"/>
                <w:szCs w:val="16"/>
              </w:rPr>
              <w:br/>
              <w:t xml:space="preserve"> </w:t>
            </w:r>
            <w:r w:rsidRPr="006E0575">
              <w:rPr>
                <w:sz w:val="16"/>
                <w:szCs w:val="16"/>
              </w:rPr>
              <w:t>Auf</w:t>
            </w:r>
            <w:r>
              <w:rPr>
                <w:sz w:val="16"/>
                <w:szCs w:val="16"/>
              </w:rPr>
              <w:t>wand in €</w:t>
            </w:r>
          </w:p>
        </w:tc>
      </w:tr>
      <w:tr w:rsidR="00354446" w:rsidRPr="00354446" w:rsidTr="00862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4" w:type="dxa"/>
            <w:gridSpan w:val="2"/>
            <w:tcBorders>
              <w:top w:val="single" w:sz="4" w:space="0" w:color="000000"/>
              <w:left w:val="single" w:sz="4" w:space="0" w:color="000000"/>
              <w:bottom w:val="single" w:sz="4" w:space="0" w:color="000000"/>
            </w:tcBorders>
            <w:shd w:val="clear" w:color="auto" w:fill="auto"/>
          </w:tcPr>
          <w:p w:rsidR="00DA489C" w:rsidRPr="00354446" w:rsidRDefault="00DA489C" w:rsidP="002D078F">
            <w:pPr>
              <w:snapToGrid w:val="0"/>
              <w:rPr>
                <w:sz w:val="20"/>
                <w:szCs w:val="16"/>
              </w:rPr>
            </w:pPr>
          </w:p>
          <w:p w:rsidR="00DA489C" w:rsidRPr="00354446" w:rsidRDefault="00C44928" w:rsidP="002D078F">
            <w:pPr>
              <w:rPr>
                <w:sz w:val="20"/>
              </w:rPr>
            </w:pPr>
            <w:r w:rsidRPr="00354446">
              <w:rPr>
                <w:sz w:val="20"/>
              </w:rPr>
              <w:t xml:space="preserve"> </w:t>
            </w:r>
            <w:r w:rsidR="00E40685" w:rsidRPr="00354446">
              <w:rPr>
                <w:sz w:val="20"/>
              </w:rPr>
              <w:t>320.03.01.xxx</w:t>
            </w:r>
          </w:p>
          <w:p w:rsidR="001D0525" w:rsidRPr="00354446" w:rsidRDefault="001D0525" w:rsidP="002D078F">
            <w:pPr>
              <w:rPr>
                <w:sz w:val="20"/>
              </w:rPr>
            </w:pPr>
          </w:p>
          <w:p w:rsidR="00DA489C" w:rsidRPr="00354446" w:rsidRDefault="00E40685" w:rsidP="002D078F">
            <w:pPr>
              <w:rPr>
                <w:sz w:val="20"/>
              </w:rPr>
            </w:pPr>
            <w:r w:rsidRPr="00354446">
              <w:rPr>
                <w:sz w:val="20"/>
              </w:rPr>
              <w:t xml:space="preserve"> 32315311</w:t>
            </w:r>
          </w:p>
          <w:p w:rsidR="00DA489C" w:rsidRPr="00354446" w:rsidRDefault="00DA489C" w:rsidP="002D078F">
            <w:pPr>
              <w:rPr>
                <w:sz w:val="20"/>
              </w:rPr>
            </w:pPr>
          </w:p>
        </w:tc>
        <w:tc>
          <w:tcPr>
            <w:tcW w:w="1701" w:type="dxa"/>
            <w:gridSpan w:val="2"/>
            <w:tcBorders>
              <w:top w:val="single" w:sz="4" w:space="0" w:color="000000"/>
              <w:left w:val="single" w:sz="4" w:space="0" w:color="000000"/>
              <w:bottom w:val="single" w:sz="4" w:space="0" w:color="000000"/>
            </w:tcBorders>
            <w:shd w:val="clear" w:color="auto" w:fill="auto"/>
          </w:tcPr>
          <w:p w:rsidR="00DA489C" w:rsidRPr="00354446" w:rsidRDefault="00DA489C" w:rsidP="002D078F">
            <w:pPr>
              <w:snapToGrid w:val="0"/>
              <w:rPr>
                <w:sz w:val="20"/>
              </w:rPr>
            </w:pPr>
          </w:p>
          <w:p w:rsidR="001D0525" w:rsidRPr="00354446" w:rsidRDefault="00784C19" w:rsidP="00862CAC">
            <w:pPr>
              <w:rPr>
                <w:sz w:val="20"/>
              </w:rPr>
            </w:pPr>
            <w:r w:rsidRPr="00354446">
              <w:rPr>
                <w:sz w:val="20"/>
              </w:rPr>
              <w:t>Amt für öffentl</w:t>
            </w:r>
            <w:r w:rsidR="00DA489C" w:rsidRPr="00354446">
              <w:rPr>
                <w:sz w:val="20"/>
              </w:rPr>
              <w:t>iche</w:t>
            </w:r>
            <w:r w:rsidR="00862CAC">
              <w:rPr>
                <w:sz w:val="20"/>
              </w:rPr>
              <w:t xml:space="preserve"> </w:t>
            </w:r>
            <w:r w:rsidR="00E40685" w:rsidRPr="00354446">
              <w:rPr>
                <w:sz w:val="20"/>
              </w:rPr>
              <w:t>Ordnung</w:t>
            </w:r>
          </w:p>
        </w:tc>
        <w:tc>
          <w:tcPr>
            <w:tcW w:w="794" w:type="dxa"/>
            <w:gridSpan w:val="2"/>
            <w:tcBorders>
              <w:top w:val="single" w:sz="4" w:space="0" w:color="000000"/>
              <w:left w:val="single" w:sz="4" w:space="0" w:color="000000"/>
              <w:bottom w:val="single" w:sz="4" w:space="0" w:color="000000"/>
            </w:tcBorders>
            <w:shd w:val="clear" w:color="auto" w:fill="auto"/>
          </w:tcPr>
          <w:p w:rsidR="00DA489C" w:rsidRPr="00354446" w:rsidRDefault="00DA489C" w:rsidP="002D078F">
            <w:pPr>
              <w:jc w:val="center"/>
              <w:rPr>
                <w:sz w:val="20"/>
              </w:rPr>
            </w:pPr>
          </w:p>
          <w:p w:rsidR="00DA489C" w:rsidRPr="00354446" w:rsidRDefault="00DA489C" w:rsidP="002D078F">
            <w:pPr>
              <w:jc w:val="center"/>
              <w:rPr>
                <w:sz w:val="20"/>
              </w:rPr>
            </w:pPr>
            <w:r w:rsidRPr="00354446">
              <w:rPr>
                <w:sz w:val="20"/>
              </w:rPr>
              <w:t>A 1</w:t>
            </w:r>
            <w:r w:rsidR="00B54C65" w:rsidRPr="00354446">
              <w:rPr>
                <w:sz w:val="20"/>
              </w:rPr>
              <w:t>2</w:t>
            </w:r>
          </w:p>
        </w:tc>
        <w:tc>
          <w:tcPr>
            <w:tcW w:w="1928" w:type="dxa"/>
            <w:gridSpan w:val="2"/>
            <w:tcBorders>
              <w:top w:val="single" w:sz="4" w:space="0" w:color="000000"/>
              <w:left w:val="single" w:sz="4" w:space="0" w:color="000000"/>
              <w:bottom w:val="single" w:sz="4" w:space="0" w:color="000000"/>
            </w:tcBorders>
            <w:shd w:val="clear" w:color="auto" w:fill="auto"/>
          </w:tcPr>
          <w:p w:rsidR="00DA489C" w:rsidRPr="00354446" w:rsidRDefault="00DA489C" w:rsidP="002D078F">
            <w:pPr>
              <w:rPr>
                <w:sz w:val="20"/>
              </w:rPr>
            </w:pPr>
          </w:p>
          <w:p w:rsidR="00DA489C" w:rsidRPr="00354446" w:rsidRDefault="00C44928" w:rsidP="002D078F">
            <w:pPr>
              <w:rPr>
                <w:sz w:val="20"/>
              </w:rPr>
            </w:pPr>
            <w:r w:rsidRPr="00354446">
              <w:rPr>
                <w:sz w:val="20"/>
              </w:rPr>
              <w:t>Projekt</w:t>
            </w:r>
            <w:r w:rsidR="0004229A" w:rsidRPr="00354446">
              <w:rPr>
                <w:sz w:val="20"/>
              </w:rPr>
              <w:t>bearbeiter Verkehrsnetze</w:t>
            </w:r>
            <w:r w:rsidR="00A769AE" w:rsidRPr="00354446">
              <w:rPr>
                <w:sz w:val="20"/>
              </w:rPr>
              <w:t>/</w:t>
            </w:r>
            <w:r w:rsidR="00784C19" w:rsidRPr="00354446">
              <w:rPr>
                <w:sz w:val="20"/>
              </w:rPr>
              <w:t xml:space="preserve"> nachhaltige Mobil</w:t>
            </w:r>
            <w:r w:rsidR="00A769AE" w:rsidRPr="00354446">
              <w:rPr>
                <w:sz w:val="20"/>
              </w:rPr>
              <w:t>ität</w:t>
            </w:r>
          </w:p>
        </w:tc>
        <w:tc>
          <w:tcPr>
            <w:tcW w:w="737" w:type="dxa"/>
            <w:gridSpan w:val="2"/>
            <w:tcBorders>
              <w:top w:val="single" w:sz="4" w:space="0" w:color="000000"/>
              <w:left w:val="single" w:sz="4" w:space="0" w:color="000000"/>
              <w:bottom w:val="single" w:sz="4" w:space="0" w:color="000000"/>
            </w:tcBorders>
            <w:shd w:val="clear" w:color="auto" w:fill="DFDFDF"/>
          </w:tcPr>
          <w:p w:rsidR="00DA489C" w:rsidRPr="00354446" w:rsidRDefault="00DA489C" w:rsidP="002D078F">
            <w:pPr>
              <w:jc w:val="center"/>
              <w:rPr>
                <w:sz w:val="20"/>
              </w:rPr>
            </w:pPr>
          </w:p>
          <w:p w:rsidR="00DA489C" w:rsidRPr="00354446" w:rsidRDefault="00A75A88" w:rsidP="002D078F">
            <w:pPr>
              <w:jc w:val="center"/>
              <w:rPr>
                <w:sz w:val="20"/>
              </w:rPr>
            </w:pPr>
            <w:r w:rsidRPr="00354446">
              <w:rPr>
                <w:sz w:val="20"/>
              </w:rPr>
              <w:t>1,</w:t>
            </w:r>
            <w:r w:rsidR="00784C19" w:rsidRPr="00354446">
              <w:rPr>
                <w:sz w:val="20"/>
              </w:rPr>
              <w:t>0</w:t>
            </w:r>
          </w:p>
        </w:tc>
        <w:tc>
          <w:tcPr>
            <w:tcW w:w="1134" w:type="dxa"/>
            <w:gridSpan w:val="2"/>
            <w:tcBorders>
              <w:top w:val="single" w:sz="4" w:space="0" w:color="000000"/>
              <w:left w:val="single" w:sz="4" w:space="0" w:color="000000"/>
              <w:bottom w:val="single" w:sz="4" w:space="0" w:color="000000"/>
            </w:tcBorders>
            <w:shd w:val="clear" w:color="auto" w:fill="auto"/>
          </w:tcPr>
          <w:p w:rsidR="00DA489C" w:rsidRPr="00354446" w:rsidRDefault="00DA489C" w:rsidP="002D078F">
            <w:pPr>
              <w:snapToGrid w:val="0"/>
              <w:jc w:val="center"/>
              <w:rPr>
                <w:sz w:val="20"/>
              </w:rPr>
            </w:pPr>
          </w:p>
          <w:p w:rsidR="00DA489C" w:rsidRPr="00354446" w:rsidRDefault="00862CAC" w:rsidP="002D078F">
            <w:pPr>
              <w:jc w:val="center"/>
              <w:rPr>
                <w:sz w:val="20"/>
              </w:rPr>
            </w:pPr>
            <w:r>
              <w:rPr>
                <w:sz w:val="20"/>
              </w:rPr>
              <w:t>--</w:t>
            </w:r>
          </w:p>
        </w:tc>
        <w:tc>
          <w:tcPr>
            <w:tcW w:w="1437" w:type="dxa"/>
            <w:gridSpan w:val="3"/>
            <w:tcBorders>
              <w:top w:val="single" w:sz="4" w:space="0" w:color="000000"/>
              <w:left w:val="single" w:sz="4" w:space="0" w:color="000000"/>
              <w:bottom w:val="single" w:sz="4" w:space="0" w:color="000000"/>
              <w:right w:val="single" w:sz="4" w:space="0" w:color="000000"/>
            </w:tcBorders>
            <w:shd w:val="clear" w:color="auto" w:fill="auto"/>
          </w:tcPr>
          <w:p w:rsidR="00DA489C" w:rsidRPr="00354446" w:rsidRDefault="00DA489C" w:rsidP="00862CAC">
            <w:pPr>
              <w:snapToGrid w:val="0"/>
              <w:jc w:val="center"/>
              <w:rPr>
                <w:sz w:val="20"/>
              </w:rPr>
            </w:pPr>
          </w:p>
          <w:p w:rsidR="00DA489C" w:rsidRPr="00354446" w:rsidRDefault="00862CAC" w:rsidP="00862CAC">
            <w:pPr>
              <w:jc w:val="center"/>
            </w:pPr>
            <w:r>
              <w:rPr>
                <w:sz w:val="20"/>
              </w:rPr>
              <w:t>101.300</w:t>
            </w:r>
          </w:p>
        </w:tc>
      </w:tr>
    </w:tbl>
    <w:p w:rsidR="00C0684A" w:rsidRPr="00354446" w:rsidRDefault="00464620" w:rsidP="00A75A88">
      <w:pPr>
        <w:pStyle w:val="berschrift1"/>
        <w:numPr>
          <w:ilvl w:val="0"/>
          <w:numId w:val="0"/>
        </w:numPr>
        <w:ind w:left="284" w:hanging="284"/>
      </w:pPr>
      <w:r w:rsidRPr="00354446">
        <w:t>1</w:t>
      </w:r>
      <w:r w:rsidR="00C0684A" w:rsidRPr="00354446">
        <w:tab/>
        <w:t>Antra</w:t>
      </w:r>
      <w:r w:rsidR="00C0684A" w:rsidRPr="00354446">
        <w:rPr>
          <w:u w:val="none"/>
        </w:rPr>
        <w:t>g</w:t>
      </w:r>
      <w:r w:rsidR="00C0684A" w:rsidRPr="00354446">
        <w:t>, Stellenausstattun</w:t>
      </w:r>
      <w:r w:rsidR="00C0684A" w:rsidRPr="00354446">
        <w:rPr>
          <w:u w:val="none"/>
        </w:rPr>
        <w:t>g</w:t>
      </w:r>
    </w:p>
    <w:p w:rsidR="00C0684A" w:rsidRPr="00354446" w:rsidRDefault="00C0684A" w:rsidP="00C0684A"/>
    <w:p w:rsidR="00255E0F" w:rsidRPr="002C3470" w:rsidRDefault="001F575B" w:rsidP="00255E0F">
      <w:r w:rsidRPr="00354446">
        <w:t xml:space="preserve">Beantragt wird die Schaffung von </w:t>
      </w:r>
      <w:r w:rsidR="00C44928" w:rsidRPr="00354446">
        <w:t>1,0</w:t>
      </w:r>
      <w:r w:rsidR="00A75A88" w:rsidRPr="00354446">
        <w:t xml:space="preserve"> Stellen in </w:t>
      </w:r>
      <w:r w:rsidR="00E40685" w:rsidRPr="00354446">
        <w:t>A 12</w:t>
      </w:r>
      <w:r w:rsidR="00A75A88" w:rsidRPr="00354446">
        <w:t xml:space="preserve"> </w:t>
      </w:r>
      <w:r w:rsidRPr="00354446">
        <w:t>für die Bearbeitung übergeordneter und gesamtstädtisch relevanter Projekte bei der Straßenverkehrsbehörde beim Amt für öffentliche Ordnung</w:t>
      </w:r>
      <w:r w:rsidR="00C44928" w:rsidRPr="00354446">
        <w:t xml:space="preserve">. </w:t>
      </w:r>
    </w:p>
    <w:p w:rsidR="00C0684A" w:rsidRPr="00354446" w:rsidRDefault="00C0684A" w:rsidP="00A75A88">
      <w:pPr>
        <w:pStyle w:val="berschrift1"/>
        <w:numPr>
          <w:ilvl w:val="0"/>
          <w:numId w:val="0"/>
        </w:numPr>
        <w:ind w:left="284" w:hanging="284"/>
      </w:pPr>
      <w:r w:rsidRPr="00354446">
        <w:t>2</w:t>
      </w:r>
      <w:r w:rsidRPr="00354446">
        <w:tab/>
        <w:t>Schaffun</w:t>
      </w:r>
      <w:r w:rsidRPr="00354446">
        <w:rPr>
          <w:u w:val="none"/>
        </w:rPr>
        <w:t>g</w:t>
      </w:r>
      <w:r w:rsidRPr="00354446">
        <w:t>skriterien</w:t>
      </w:r>
    </w:p>
    <w:p w:rsidR="00C0684A" w:rsidRDefault="00C0684A" w:rsidP="00C0684A"/>
    <w:p w:rsidR="00862CAC" w:rsidRDefault="00862CAC" w:rsidP="00862CAC">
      <w:r>
        <w:t xml:space="preserve">Die Schaffung der Stelle ist in der „Grünen Liste“ zum Haushalt 2018 enthalten. Die Stellen </w:t>
      </w:r>
      <w:r w:rsidR="00A72E38">
        <w:t>ist</w:t>
      </w:r>
      <w:r>
        <w:t xml:space="preserve"> Teil des Pakets „Nachhaltig mobil in Stuttgart“.</w:t>
      </w:r>
    </w:p>
    <w:p w:rsidR="00862CAC" w:rsidRDefault="00862CAC" w:rsidP="00C0684A"/>
    <w:p w:rsidR="001F575B" w:rsidRPr="00354446" w:rsidRDefault="00233A06" w:rsidP="00C0684A">
      <w:r w:rsidRPr="00FA2D93">
        <w:t>Es ist eine erhebliche Arbeitsvermehrung eingetreten, die durch andere Maßnahmen nicht aufgefangen werden kann.</w:t>
      </w:r>
      <w:r>
        <w:t xml:space="preserve"> </w:t>
      </w:r>
      <w:r w:rsidR="001F575B" w:rsidRPr="00354446">
        <w:t>Die bisherigen Abläufe und Ziel</w:t>
      </w:r>
      <w:r w:rsidR="0003531A" w:rsidRPr="00354446">
        <w:t xml:space="preserve">vorgaben </w:t>
      </w:r>
      <w:r w:rsidR="00AE53AE">
        <w:t xml:space="preserve">im Bereich des Straßenverkehrs insbesondere der </w:t>
      </w:r>
      <w:r w:rsidR="001F575B" w:rsidRPr="00354446">
        <w:t xml:space="preserve">Mobilität </w:t>
      </w:r>
      <w:r w:rsidR="00C95FCF" w:rsidRPr="00354446">
        <w:t xml:space="preserve">unterliegen einem </w:t>
      </w:r>
      <w:r w:rsidR="0003531A" w:rsidRPr="00354446">
        <w:t>grundlegend</w:t>
      </w:r>
      <w:r w:rsidR="00C95FCF" w:rsidRPr="00354446">
        <w:t>en Wandel</w:t>
      </w:r>
      <w:r w:rsidR="001F575B" w:rsidRPr="00354446">
        <w:t xml:space="preserve">. </w:t>
      </w:r>
      <w:r w:rsidR="0003531A" w:rsidRPr="00354446">
        <w:t xml:space="preserve">Ursache hierfür sind die </w:t>
      </w:r>
      <w:r w:rsidR="001D0525" w:rsidRPr="00354446">
        <w:t>Ge</w:t>
      </w:r>
      <w:r w:rsidR="005F2826" w:rsidRPr="00354446">
        <w:t xml:space="preserve">wichtung </w:t>
      </w:r>
      <w:r w:rsidR="0003531A" w:rsidRPr="00354446">
        <w:t>und Weiterentwicklung r</w:t>
      </w:r>
      <w:r w:rsidR="001F575B" w:rsidRPr="00354446">
        <w:t>echtliche</w:t>
      </w:r>
      <w:r w:rsidR="0003531A" w:rsidRPr="00354446">
        <w:t>r</w:t>
      </w:r>
      <w:r w:rsidR="001F575B" w:rsidRPr="00354446">
        <w:t xml:space="preserve"> Vorgaben</w:t>
      </w:r>
      <w:r w:rsidR="0003531A" w:rsidRPr="00354446">
        <w:t xml:space="preserve"> sowie die gesellschaftliche Bedeutung des Themenbereichs</w:t>
      </w:r>
      <w:r w:rsidR="001F575B" w:rsidRPr="00354446">
        <w:t xml:space="preserve">. </w:t>
      </w:r>
      <w:r w:rsidR="0003531A" w:rsidRPr="00354446">
        <w:t xml:space="preserve">Die gestiegene Komplexität bei der Vorgangsbearbeitung bewirkt eine </w:t>
      </w:r>
      <w:r w:rsidR="001D0525" w:rsidRPr="00354446">
        <w:t>erhebliche</w:t>
      </w:r>
      <w:r w:rsidR="005F2826" w:rsidRPr="00354446">
        <w:t xml:space="preserve"> </w:t>
      </w:r>
      <w:r w:rsidR="0003531A" w:rsidRPr="00354446">
        <w:t>Arbeitsvermehrung.</w:t>
      </w:r>
    </w:p>
    <w:p w:rsidR="00C0684A" w:rsidRPr="00354446" w:rsidRDefault="00C0684A" w:rsidP="00C0684A">
      <w:pPr>
        <w:pStyle w:val="berschrift1"/>
        <w:numPr>
          <w:ilvl w:val="0"/>
          <w:numId w:val="0"/>
        </w:numPr>
        <w:ind w:left="284" w:hanging="284"/>
      </w:pPr>
      <w:r w:rsidRPr="00354446">
        <w:t>3</w:t>
      </w:r>
      <w:r w:rsidRPr="00354446">
        <w:tab/>
        <w:t>Bedarf</w:t>
      </w:r>
    </w:p>
    <w:p w:rsidR="00C0684A" w:rsidRPr="00233A06" w:rsidRDefault="00C0684A" w:rsidP="00C0684A">
      <w:pPr>
        <w:pStyle w:val="berschrift2"/>
        <w:rPr>
          <w:rFonts w:ascii="Arial" w:hAnsi="Arial" w:cs="Arial"/>
          <w:color w:val="auto"/>
          <w:sz w:val="24"/>
          <w:szCs w:val="24"/>
        </w:rPr>
      </w:pPr>
      <w:r w:rsidRPr="00233A06">
        <w:rPr>
          <w:rFonts w:ascii="Arial" w:hAnsi="Arial" w:cs="Arial"/>
          <w:color w:val="auto"/>
          <w:sz w:val="24"/>
          <w:szCs w:val="24"/>
        </w:rPr>
        <w:t>3.1</w:t>
      </w:r>
      <w:r w:rsidRPr="00233A06">
        <w:rPr>
          <w:rFonts w:ascii="Arial" w:hAnsi="Arial" w:cs="Arial"/>
          <w:color w:val="auto"/>
          <w:sz w:val="24"/>
          <w:szCs w:val="24"/>
        </w:rPr>
        <w:tab/>
        <w:t>Anlass</w:t>
      </w:r>
    </w:p>
    <w:p w:rsidR="00C0684A" w:rsidRPr="00354446" w:rsidRDefault="00C0684A" w:rsidP="00C0684A">
      <w:pPr>
        <w:ind w:right="-20"/>
        <w:rPr>
          <w:rFonts w:eastAsia="Arial"/>
          <w:szCs w:val="24"/>
        </w:rPr>
      </w:pPr>
    </w:p>
    <w:p w:rsidR="0053500F" w:rsidRPr="00354446" w:rsidRDefault="00905AFC" w:rsidP="00C0684A">
      <w:pPr>
        <w:ind w:right="-20"/>
        <w:rPr>
          <w:rFonts w:eastAsia="Arial"/>
          <w:szCs w:val="24"/>
        </w:rPr>
      </w:pPr>
      <w:r w:rsidRPr="00354446">
        <w:rPr>
          <w:rFonts w:eastAsia="Arial"/>
          <w:szCs w:val="24"/>
        </w:rPr>
        <w:t xml:space="preserve">Die Straßenverkehrsbehörde </w:t>
      </w:r>
      <w:r w:rsidR="004446A0" w:rsidRPr="00354446">
        <w:rPr>
          <w:rFonts w:eastAsia="Arial"/>
          <w:szCs w:val="24"/>
        </w:rPr>
        <w:t>begleitet</w:t>
      </w:r>
      <w:r w:rsidRPr="00354446">
        <w:rPr>
          <w:rFonts w:eastAsia="Arial"/>
          <w:szCs w:val="24"/>
        </w:rPr>
        <w:t xml:space="preserve">, </w:t>
      </w:r>
      <w:r w:rsidR="004446A0" w:rsidRPr="00354446">
        <w:rPr>
          <w:rFonts w:eastAsia="Arial"/>
          <w:szCs w:val="24"/>
        </w:rPr>
        <w:t xml:space="preserve">prüft </w:t>
      </w:r>
      <w:r w:rsidRPr="00354446">
        <w:rPr>
          <w:rFonts w:eastAsia="Arial"/>
          <w:szCs w:val="24"/>
        </w:rPr>
        <w:t xml:space="preserve">und </w:t>
      </w:r>
      <w:r w:rsidR="004446A0" w:rsidRPr="00354446">
        <w:rPr>
          <w:rFonts w:eastAsia="Arial"/>
          <w:szCs w:val="24"/>
        </w:rPr>
        <w:t xml:space="preserve">genehmigt </w:t>
      </w:r>
      <w:r w:rsidRPr="00354446">
        <w:rPr>
          <w:rFonts w:eastAsia="Arial"/>
          <w:szCs w:val="24"/>
        </w:rPr>
        <w:t>alle Vorhaben im öffentlichen Raum</w:t>
      </w:r>
      <w:r w:rsidR="004446A0" w:rsidRPr="00354446">
        <w:rPr>
          <w:rFonts w:eastAsia="Arial"/>
          <w:szCs w:val="24"/>
        </w:rPr>
        <w:t>, die sich auf die Verkehrssituation auswirken</w:t>
      </w:r>
      <w:r w:rsidRPr="00354446">
        <w:rPr>
          <w:rFonts w:eastAsia="Arial"/>
          <w:szCs w:val="24"/>
        </w:rPr>
        <w:t xml:space="preserve">. </w:t>
      </w:r>
      <w:r w:rsidR="0053500F" w:rsidRPr="00354446">
        <w:rPr>
          <w:rFonts w:eastAsia="Arial"/>
          <w:szCs w:val="24"/>
        </w:rPr>
        <w:t xml:space="preserve">Neben den bisher im Vordergrund stehenden Prüfkriterien der Straßenverkehrsordnung und des Straßenrechts, sind inzwischen </w:t>
      </w:r>
      <w:r w:rsidR="00862CAC">
        <w:rPr>
          <w:rFonts w:eastAsia="Arial"/>
          <w:szCs w:val="24"/>
        </w:rPr>
        <w:t>auch</w:t>
      </w:r>
      <w:r w:rsidR="00F24702" w:rsidRPr="00354446">
        <w:rPr>
          <w:rFonts w:eastAsia="Arial"/>
          <w:szCs w:val="24"/>
        </w:rPr>
        <w:t xml:space="preserve"> </w:t>
      </w:r>
      <w:r w:rsidR="0053500F" w:rsidRPr="00354446">
        <w:rPr>
          <w:rFonts w:eastAsia="Arial"/>
          <w:szCs w:val="24"/>
        </w:rPr>
        <w:t>übergeordnete Vorgaben und Aspekte von Bedeutung bei der Vorgangsbearbeitung</w:t>
      </w:r>
      <w:r w:rsidR="00F24702" w:rsidRPr="00354446">
        <w:rPr>
          <w:rFonts w:eastAsia="Arial"/>
          <w:szCs w:val="24"/>
        </w:rPr>
        <w:t>:</w:t>
      </w:r>
    </w:p>
    <w:p w:rsidR="0053500F" w:rsidRPr="00354446" w:rsidRDefault="0053500F" w:rsidP="00C0684A">
      <w:pPr>
        <w:ind w:right="-20"/>
        <w:rPr>
          <w:rFonts w:eastAsia="Arial"/>
          <w:szCs w:val="24"/>
        </w:rPr>
      </w:pPr>
    </w:p>
    <w:p w:rsidR="007B3BCD" w:rsidRDefault="005F6E25" w:rsidP="007B3BCD">
      <w:pPr>
        <w:ind w:right="-20"/>
        <w:rPr>
          <w:rFonts w:eastAsia="Arial"/>
          <w:szCs w:val="24"/>
        </w:rPr>
      </w:pPr>
      <w:r>
        <w:rPr>
          <w:rFonts w:eastAsia="Arial"/>
          <w:szCs w:val="24"/>
        </w:rPr>
        <w:t xml:space="preserve">Mit der Schwerpunktsetzung </w:t>
      </w:r>
      <w:r w:rsidR="00862CAC">
        <w:rPr>
          <w:rFonts w:eastAsia="Arial"/>
          <w:szCs w:val="24"/>
        </w:rPr>
        <w:t xml:space="preserve">der Verwaltungsspitze </w:t>
      </w:r>
      <w:r>
        <w:rPr>
          <w:rFonts w:eastAsia="Arial"/>
          <w:szCs w:val="24"/>
        </w:rPr>
        <w:t>auf das Thema Mobilität</w:t>
      </w:r>
      <w:r w:rsidR="007B3BCD" w:rsidRPr="00354446">
        <w:rPr>
          <w:rFonts w:eastAsia="Arial"/>
          <w:szCs w:val="24"/>
        </w:rPr>
        <w:t xml:space="preserve"> ist ein Arbeitszuwachs eingetreten. Die Tätigkeiten des Referats </w:t>
      </w:r>
      <w:r w:rsidRPr="00354446">
        <w:rPr>
          <w:rFonts w:eastAsia="Arial"/>
          <w:szCs w:val="24"/>
        </w:rPr>
        <w:t>„Strategische Planung und nachhaltige Mobilität“</w:t>
      </w:r>
      <w:r>
        <w:rPr>
          <w:rFonts w:eastAsia="Arial"/>
          <w:szCs w:val="24"/>
        </w:rPr>
        <w:t xml:space="preserve"> </w:t>
      </w:r>
      <w:r w:rsidR="007B3BCD" w:rsidRPr="00354446">
        <w:rPr>
          <w:rFonts w:eastAsia="Arial"/>
          <w:szCs w:val="24"/>
        </w:rPr>
        <w:t>bedingen die Einbindung der Straßenverkehrsbehörde beispielsweise bei der Fortschreibung des Aktionsplans „Nachhaltig mobil in Stuttgart“, dem Fußgängerkonzept oder dem Reallabor und den Initiativen zur Citylogistik. Wäh</w:t>
      </w:r>
      <w:r w:rsidR="007B3BCD" w:rsidRPr="00354446">
        <w:rPr>
          <w:rFonts w:eastAsia="Arial"/>
          <w:szCs w:val="24"/>
        </w:rPr>
        <w:lastRenderedPageBreak/>
        <w:t>rend die Bearbeitung der konkreten Einzelanträge durch die Sachbearbeiter/-innen der Straßenverkehrsbehörde erfolgt, ist die Projektierung und Ausarbeitung dieser neuen Konzepte und Maßnahmen von grundsätzlicher und übergeordneter Bedeutung und m</w:t>
      </w:r>
      <w:r w:rsidR="008D6F0F">
        <w:rPr>
          <w:rFonts w:eastAsia="Arial"/>
          <w:szCs w:val="24"/>
        </w:rPr>
        <w:t>uss</w:t>
      </w:r>
      <w:bookmarkStart w:id="0" w:name="_GoBack"/>
      <w:bookmarkEnd w:id="0"/>
      <w:r w:rsidR="007B3BCD" w:rsidRPr="00354446">
        <w:rPr>
          <w:rFonts w:eastAsia="Arial"/>
          <w:szCs w:val="24"/>
        </w:rPr>
        <w:t xml:space="preserve"> im gesamtstädtischen Kontext </w:t>
      </w:r>
      <w:r w:rsidR="008C6EB0">
        <w:rPr>
          <w:rFonts w:eastAsia="Arial"/>
          <w:szCs w:val="24"/>
        </w:rPr>
        <w:t xml:space="preserve">und unter Berücksichtigung aller ggf. konkurrierender Zielvorgaben </w:t>
      </w:r>
      <w:r w:rsidR="007B3BCD" w:rsidRPr="00354446">
        <w:rPr>
          <w:rFonts w:eastAsia="Arial"/>
          <w:szCs w:val="24"/>
        </w:rPr>
        <w:t>erfolgen.</w:t>
      </w:r>
    </w:p>
    <w:p w:rsidR="008C6EB0" w:rsidRDefault="008C6EB0" w:rsidP="007B3BCD">
      <w:pPr>
        <w:ind w:right="-20"/>
        <w:rPr>
          <w:rFonts w:eastAsia="Arial"/>
          <w:szCs w:val="24"/>
        </w:rPr>
      </w:pPr>
    </w:p>
    <w:p w:rsidR="008C6EB0" w:rsidRPr="00354446" w:rsidRDefault="008C6EB0" w:rsidP="008C6EB0">
      <w:pPr>
        <w:ind w:right="-20"/>
        <w:rPr>
          <w:rFonts w:eastAsia="Arial"/>
          <w:szCs w:val="24"/>
        </w:rPr>
      </w:pPr>
      <w:r>
        <w:rPr>
          <w:rFonts w:eastAsia="Arial"/>
          <w:szCs w:val="24"/>
        </w:rPr>
        <w:t>Beispielsweise</w:t>
      </w:r>
      <w:r w:rsidRPr="00354446">
        <w:rPr>
          <w:rFonts w:eastAsia="Arial"/>
          <w:szCs w:val="24"/>
        </w:rPr>
        <w:t xml:space="preserve"> sind Tempo-30-Anordnungen auf Hauptverkehrsstraßen nicht mehr nur unter den Aspekten Verkehrssicherheit und Auswirkungen auf den Verkehrsfluss insbesondere unter Berücksichtigung des Wirtschaftsverkehrs und der betrieblichen Kenngrößen des ÖPNV zu bewerten, sondern auch hinsichtlich der entstehenden Vor- und Nachteile für die Luftschadstoffe. Da die Zielkenngrößen mitunter im Widerspruch stehen, ist eine detaillierte Abwägung der verschiedenen Rechtsgüter situationsspezifisch erforderlich. Gleichzeitig erfordert die Summe der Vorhaben eine Betrachtung der Auswirkungen auf das gesamtstädtische Straßennetz und Liniennetz des ÖPNV.</w:t>
      </w:r>
      <w:r w:rsidR="00704579">
        <w:rPr>
          <w:rFonts w:eastAsia="Arial"/>
          <w:szCs w:val="24"/>
        </w:rPr>
        <w:t xml:space="preserve"> </w:t>
      </w:r>
      <w:r w:rsidR="00704579" w:rsidRPr="00704579">
        <w:rPr>
          <w:rFonts w:eastAsia="Arial"/>
          <w:szCs w:val="24"/>
        </w:rPr>
        <w:t>Auch die Zielvorgaben des Lärmaktionsplans konkurrieren mitunter mit anderen fachspezifischen Zielgrößen. Zudem ist in der Fortschreibung des Plans eine grundsätzliche Überprüfung des Vorbehaltsstraßennetzes verankert, die ebenfalls eine Überprüfung des gesamtstädtischen Netzes erfordert</w:t>
      </w:r>
      <w:r w:rsidR="00704579">
        <w:rPr>
          <w:rFonts w:eastAsia="Arial"/>
          <w:szCs w:val="24"/>
        </w:rPr>
        <w:t>.</w:t>
      </w:r>
    </w:p>
    <w:p w:rsidR="008C6EB0" w:rsidRPr="00354446" w:rsidRDefault="008C6EB0" w:rsidP="008C6EB0">
      <w:pPr>
        <w:ind w:right="-20"/>
        <w:rPr>
          <w:rFonts w:eastAsia="Arial"/>
          <w:szCs w:val="24"/>
          <w:u w:val="single"/>
        </w:rPr>
      </w:pPr>
    </w:p>
    <w:p w:rsidR="007B3BCD" w:rsidRPr="00354446" w:rsidRDefault="007B3BCD" w:rsidP="007B3BCD">
      <w:pPr>
        <w:ind w:right="-20"/>
        <w:rPr>
          <w:rFonts w:eastAsia="Arial"/>
          <w:szCs w:val="24"/>
        </w:rPr>
      </w:pPr>
      <w:r w:rsidRPr="00354446">
        <w:rPr>
          <w:rFonts w:eastAsia="Arial"/>
          <w:szCs w:val="24"/>
        </w:rPr>
        <w:t>Der Wandel in der Mobilitäts- und Verkehrsplanung ist mit der Etablierung neuer Gremien wie z.B. dem „Lenkungskreis Nachhaltig mobil“ oder dem „Unterausschuss Mobilität“ einhergegangen. Diese Gremien sind vor- und nachzubearbeiten.</w:t>
      </w:r>
    </w:p>
    <w:p w:rsidR="008E7739" w:rsidRPr="00354446" w:rsidRDefault="008E7739" w:rsidP="00C0684A">
      <w:pPr>
        <w:ind w:right="-20"/>
        <w:rPr>
          <w:rFonts w:eastAsia="Arial"/>
          <w:szCs w:val="24"/>
        </w:rPr>
      </w:pPr>
    </w:p>
    <w:p w:rsidR="00233A06" w:rsidRPr="00354446" w:rsidRDefault="00233A06" w:rsidP="00233A06">
      <w:pPr>
        <w:pStyle w:val="berschrift2"/>
        <w:spacing w:before="0"/>
        <w:rPr>
          <w:rFonts w:ascii="Arial Fett" w:hAnsi="Arial Fett" w:cs="Arial"/>
          <w:color w:val="auto"/>
          <w:sz w:val="24"/>
        </w:rPr>
      </w:pPr>
      <w:r w:rsidRPr="00354446">
        <w:rPr>
          <w:rFonts w:ascii="Arial Fett" w:hAnsi="Arial Fett" w:cs="Arial"/>
          <w:color w:val="auto"/>
          <w:sz w:val="24"/>
        </w:rPr>
        <w:t>3.2</w:t>
      </w:r>
      <w:r w:rsidRPr="00354446">
        <w:rPr>
          <w:rFonts w:ascii="Arial Fett" w:hAnsi="Arial Fett" w:cs="Arial"/>
          <w:color w:val="auto"/>
          <w:sz w:val="24"/>
        </w:rPr>
        <w:tab/>
        <w:t>Bisherige Aufgabenwahrnehmung</w:t>
      </w:r>
    </w:p>
    <w:p w:rsidR="00233A06" w:rsidRPr="00354446" w:rsidRDefault="00233A06" w:rsidP="00233A06"/>
    <w:p w:rsidR="00233A06" w:rsidRPr="00354446" w:rsidRDefault="005F6E25" w:rsidP="00233A06">
      <w:pPr>
        <w:ind w:right="-20"/>
      </w:pPr>
      <w:r>
        <w:t>Aufg</w:t>
      </w:r>
      <w:r w:rsidR="00233A06" w:rsidRPr="00354446">
        <w:t xml:space="preserve">rund der hohen </w:t>
      </w:r>
      <w:r>
        <w:t>A</w:t>
      </w:r>
      <w:r w:rsidR="00233A06" w:rsidRPr="00354446">
        <w:t>uslastung in der Straßenverkehrsbehörde werden die Aufgaben bisher in hohem Maß durch die Abteilungs- und Dienststellenleitung wahrgenommen. Der zusätzliche Aufwand schlägt sich in Überstunden nieder und führt zu einer Zurückstellung von Führungsaufgaben.</w:t>
      </w:r>
    </w:p>
    <w:p w:rsidR="00233A06" w:rsidRPr="00354446" w:rsidRDefault="00233A06" w:rsidP="00233A06">
      <w:pPr>
        <w:ind w:right="-20"/>
        <w:rPr>
          <w:rFonts w:eastAsia="Arial"/>
          <w:szCs w:val="24"/>
        </w:rPr>
      </w:pPr>
    </w:p>
    <w:p w:rsidR="00233A06" w:rsidRPr="00354446" w:rsidRDefault="00233A06" w:rsidP="00233A06">
      <w:pPr>
        <w:pStyle w:val="berschrift2"/>
        <w:rPr>
          <w:rFonts w:ascii="Arial" w:hAnsi="Arial" w:cs="Arial"/>
          <w:color w:val="auto"/>
        </w:rPr>
      </w:pPr>
      <w:r w:rsidRPr="00354446">
        <w:rPr>
          <w:rFonts w:ascii="Arial" w:hAnsi="Arial" w:cs="Arial"/>
          <w:color w:val="auto"/>
        </w:rPr>
        <w:t>3.3</w:t>
      </w:r>
      <w:r w:rsidRPr="00354446">
        <w:rPr>
          <w:rFonts w:ascii="Arial" w:hAnsi="Arial" w:cs="Arial"/>
          <w:color w:val="auto"/>
        </w:rPr>
        <w:tab/>
        <w:t>Auswirkungen bei Ablehnung der Stellenschaffungen</w:t>
      </w:r>
    </w:p>
    <w:p w:rsidR="00233A06" w:rsidRPr="00354446" w:rsidRDefault="00233A06" w:rsidP="00233A06"/>
    <w:p w:rsidR="00233A06" w:rsidRPr="00354446" w:rsidRDefault="00233A06" w:rsidP="00233A06">
      <w:r w:rsidRPr="00354446">
        <w:t>Es ist nicht möglich,</w:t>
      </w:r>
      <w:r>
        <w:t xml:space="preserve"> die übergreifenden </w:t>
      </w:r>
      <w:r w:rsidRPr="00354446">
        <w:t>Arbeiten mit vorhandenem Personal zu bewerkstelligen.</w:t>
      </w:r>
      <w:r>
        <w:t xml:space="preserve"> </w:t>
      </w:r>
      <w:r w:rsidRPr="00354446">
        <w:t xml:space="preserve">Ohne eine Stellenschaffung sind Ziele des Maßnahmenplans „Nachhaltig mobil in Stuttgart“ nicht umzusetzen. </w:t>
      </w:r>
      <w:r w:rsidR="00265CF8">
        <w:t>Die</w:t>
      </w:r>
      <w:r w:rsidRPr="00354446">
        <w:t xml:space="preserve"> Ablehnung der Stellenschaffung</w:t>
      </w:r>
      <w:r w:rsidR="00265CF8">
        <w:t xml:space="preserve"> würde</w:t>
      </w:r>
      <w:r w:rsidRPr="00354446">
        <w:t xml:space="preserve"> zu Lasten der ohnehin derzeit nicht bewältigbaren Aufgabenmenge im Bereich </w:t>
      </w:r>
      <w:r w:rsidRPr="00862CAC">
        <w:t xml:space="preserve">„Bezirkssachbearbeiter/-in“ (vgl. Anlage Nr. </w:t>
      </w:r>
      <w:r w:rsidR="00862CAC" w:rsidRPr="00862CAC">
        <w:t>6</w:t>
      </w:r>
      <w:r w:rsidRPr="00862CAC">
        <w:t xml:space="preserve">) </w:t>
      </w:r>
      <w:r w:rsidR="00265CF8" w:rsidRPr="00862CAC">
        <w:t>gehen</w:t>
      </w:r>
      <w:r w:rsidRPr="00862CAC">
        <w:t>. Die dort beschriebene Proble</w:t>
      </w:r>
      <w:r w:rsidRPr="00354446">
        <w:t xml:space="preserve">matik </w:t>
      </w:r>
      <w:r w:rsidR="00265CF8">
        <w:t>würde</w:t>
      </w:r>
      <w:r w:rsidRPr="00354446">
        <w:t xml:space="preserve"> sich zunehmend verschärfen.</w:t>
      </w:r>
    </w:p>
    <w:p w:rsidR="00233A06" w:rsidRDefault="00233A06" w:rsidP="00233A06">
      <w:pPr>
        <w:pStyle w:val="berschrift1"/>
        <w:numPr>
          <w:ilvl w:val="0"/>
          <w:numId w:val="0"/>
        </w:numPr>
        <w:ind w:left="284" w:hanging="284"/>
      </w:pPr>
      <w:r w:rsidRPr="00354446">
        <w:t>4.</w:t>
      </w:r>
      <w:r w:rsidRPr="00354446">
        <w:tab/>
        <w:t>Stellenvermerke</w:t>
      </w:r>
    </w:p>
    <w:p w:rsidR="00233A06" w:rsidRDefault="00233A06" w:rsidP="00233A06"/>
    <w:p w:rsidR="0053500F" w:rsidRPr="00B4153D" w:rsidRDefault="00862CAC" w:rsidP="00B4153D">
      <w:r>
        <w:t>keine</w:t>
      </w:r>
    </w:p>
    <w:sectPr w:rsidR="0053500F" w:rsidRPr="00B4153D" w:rsidSect="008E7739">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39" w:rsidRDefault="008E7739" w:rsidP="008E7739">
      <w:r>
        <w:separator/>
      </w:r>
    </w:p>
  </w:endnote>
  <w:endnote w:type="continuationSeparator" w:id="0">
    <w:p w:rsidR="008E7739" w:rsidRDefault="008E7739" w:rsidP="008E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Fet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39" w:rsidRDefault="008E7739" w:rsidP="008E7739">
      <w:r>
        <w:separator/>
      </w:r>
    </w:p>
  </w:footnote>
  <w:footnote w:type="continuationSeparator" w:id="0">
    <w:p w:rsidR="008E7739" w:rsidRDefault="008E7739" w:rsidP="008E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Fonts w:eastAsiaTheme="majorEastAsia"/>
      </w:rPr>
      <w:id w:val="13667647"/>
      <w:docPartObj>
        <w:docPartGallery w:val="Page Numbers (Top of Page)"/>
        <w:docPartUnique/>
      </w:docPartObj>
    </w:sdtPr>
    <w:sdtEndPr>
      <w:rPr>
        <w:rStyle w:val="Seitenzahl"/>
      </w:rPr>
    </w:sdtEndPr>
    <w:sdtContent>
      <w:p w:rsidR="008E7739" w:rsidRDefault="008E7739" w:rsidP="008E7739">
        <w:pPr>
          <w:pStyle w:val="Kopfzeile"/>
          <w:framePr w:wrap="notBeside" w:vAnchor="text" w:hAnchor="page" w:xAlign="center" w:y="1"/>
          <w:rPr>
            <w:rStyle w:val="Seitenzahl"/>
            <w:rFonts w:eastAsiaTheme="majorEastAsia"/>
          </w:rPr>
        </w:pPr>
        <w:r>
          <w:rPr>
            <w:rStyle w:val="Seitenzahl"/>
            <w:rFonts w:eastAsiaTheme="majorEastAsia"/>
          </w:rPr>
          <w:t xml:space="preserve">- </w:t>
        </w:r>
        <w:r>
          <w:rPr>
            <w:rStyle w:val="Seitenzahl"/>
            <w:rFonts w:eastAsiaTheme="majorEastAsia"/>
          </w:rPr>
          <w:fldChar w:fldCharType="begin"/>
        </w:r>
        <w:r>
          <w:rPr>
            <w:rStyle w:val="Seitenzahl"/>
            <w:rFonts w:eastAsiaTheme="majorEastAsia"/>
          </w:rPr>
          <w:instrText xml:space="preserve"> PAGE </w:instrText>
        </w:r>
        <w:r>
          <w:rPr>
            <w:rStyle w:val="Seitenzahl"/>
            <w:rFonts w:eastAsiaTheme="majorEastAsia"/>
          </w:rPr>
          <w:fldChar w:fldCharType="separate"/>
        </w:r>
        <w:r w:rsidR="008D6F0F">
          <w:rPr>
            <w:rStyle w:val="Seitenzahl"/>
            <w:rFonts w:eastAsiaTheme="majorEastAsia"/>
            <w:noProof/>
          </w:rPr>
          <w:t>2</w:t>
        </w:r>
        <w:r>
          <w:rPr>
            <w:rStyle w:val="Seitenzahl"/>
            <w:rFonts w:eastAsiaTheme="majorEastAsia"/>
          </w:rPr>
          <w:fldChar w:fldCharType="end"/>
        </w:r>
        <w:r>
          <w:rPr>
            <w:rStyle w:val="Seitenzahl"/>
            <w:rFonts w:eastAsiaTheme="majorEastAsia"/>
          </w:rPr>
          <w:t xml:space="preserve"> -</w:t>
        </w:r>
      </w:p>
    </w:sdtContent>
  </w:sdt>
  <w:p w:rsidR="008E7739" w:rsidRDefault="008E77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B076E0"/>
    <w:multiLevelType w:val="multilevel"/>
    <w:tmpl w:val="8E168828"/>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896B55"/>
    <w:multiLevelType w:val="hybridMultilevel"/>
    <w:tmpl w:val="78FA85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F81091"/>
    <w:multiLevelType w:val="hybridMultilevel"/>
    <w:tmpl w:val="DD9A1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0F54D3"/>
    <w:multiLevelType w:val="hybridMultilevel"/>
    <w:tmpl w:val="C14AB964"/>
    <w:lvl w:ilvl="0" w:tplc="3130675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684A"/>
    <w:rsid w:val="0003531A"/>
    <w:rsid w:val="0004229A"/>
    <w:rsid w:val="0005285D"/>
    <w:rsid w:val="00067F40"/>
    <w:rsid w:val="000A6F60"/>
    <w:rsid w:val="000B5FD7"/>
    <w:rsid w:val="00112C6B"/>
    <w:rsid w:val="00145B8F"/>
    <w:rsid w:val="00152EE9"/>
    <w:rsid w:val="001539B4"/>
    <w:rsid w:val="00156792"/>
    <w:rsid w:val="0017566B"/>
    <w:rsid w:val="00175FD8"/>
    <w:rsid w:val="0018079A"/>
    <w:rsid w:val="00191F2D"/>
    <w:rsid w:val="001A15CB"/>
    <w:rsid w:val="001C1618"/>
    <w:rsid w:val="001D0525"/>
    <w:rsid w:val="001D5FD1"/>
    <w:rsid w:val="001E1892"/>
    <w:rsid w:val="001E1DF5"/>
    <w:rsid w:val="001F575B"/>
    <w:rsid w:val="00221D5B"/>
    <w:rsid w:val="00233A06"/>
    <w:rsid w:val="00252E73"/>
    <w:rsid w:val="00255E0F"/>
    <w:rsid w:val="00265CF8"/>
    <w:rsid w:val="0027135B"/>
    <w:rsid w:val="002818D8"/>
    <w:rsid w:val="00293301"/>
    <w:rsid w:val="002D078F"/>
    <w:rsid w:val="00303F27"/>
    <w:rsid w:val="0033406D"/>
    <w:rsid w:val="00351237"/>
    <w:rsid w:val="00354446"/>
    <w:rsid w:val="00387001"/>
    <w:rsid w:val="0039441B"/>
    <w:rsid w:val="00395203"/>
    <w:rsid w:val="003A03E3"/>
    <w:rsid w:val="003A2D89"/>
    <w:rsid w:val="003F0FBD"/>
    <w:rsid w:val="004446A0"/>
    <w:rsid w:val="00456EA6"/>
    <w:rsid w:val="004634B7"/>
    <w:rsid w:val="00464620"/>
    <w:rsid w:val="004B7878"/>
    <w:rsid w:val="004F0B3B"/>
    <w:rsid w:val="00504957"/>
    <w:rsid w:val="0053500F"/>
    <w:rsid w:val="00536436"/>
    <w:rsid w:val="00592EA2"/>
    <w:rsid w:val="005942AB"/>
    <w:rsid w:val="00595A5E"/>
    <w:rsid w:val="005B1B89"/>
    <w:rsid w:val="005C37F0"/>
    <w:rsid w:val="005F2826"/>
    <w:rsid w:val="005F6E25"/>
    <w:rsid w:val="00602557"/>
    <w:rsid w:val="00634435"/>
    <w:rsid w:val="00664865"/>
    <w:rsid w:val="00667787"/>
    <w:rsid w:val="00671C66"/>
    <w:rsid w:val="006867E5"/>
    <w:rsid w:val="00704579"/>
    <w:rsid w:val="00744D4E"/>
    <w:rsid w:val="00744E64"/>
    <w:rsid w:val="00752B71"/>
    <w:rsid w:val="007665B1"/>
    <w:rsid w:val="00784C19"/>
    <w:rsid w:val="00791325"/>
    <w:rsid w:val="007A1C6E"/>
    <w:rsid w:val="007A762D"/>
    <w:rsid w:val="007B3BCD"/>
    <w:rsid w:val="007C08DD"/>
    <w:rsid w:val="007D7EB5"/>
    <w:rsid w:val="00815AB9"/>
    <w:rsid w:val="00851EE5"/>
    <w:rsid w:val="00852F37"/>
    <w:rsid w:val="00854523"/>
    <w:rsid w:val="00862CAC"/>
    <w:rsid w:val="0086754C"/>
    <w:rsid w:val="00884686"/>
    <w:rsid w:val="00896465"/>
    <w:rsid w:val="008B6ECF"/>
    <w:rsid w:val="008C6EB0"/>
    <w:rsid w:val="008D6F0F"/>
    <w:rsid w:val="008E7739"/>
    <w:rsid w:val="00905AFC"/>
    <w:rsid w:val="009924FE"/>
    <w:rsid w:val="009B0C8F"/>
    <w:rsid w:val="009C6C19"/>
    <w:rsid w:val="00A17E3E"/>
    <w:rsid w:val="00A72E38"/>
    <w:rsid w:val="00A75A88"/>
    <w:rsid w:val="00A769AE"/>
    <w:rsid w:val="00AE53AE"/>
    <w:rsid w:val="00AF1D3D"/>
    <w:rsid w:val="00B2695C"/>
    <w:rsid w:val="00B3727D"/>
    <w:rsid w:val="00B4153D"/>
    <w:rsid w:val="00B54C65"/>
    <w:rsid w:val="00B64917"/>
    <w:rsid w:val="00BC1241"/>
    <w:rsid w:val="00C0684A"/>
    <w:rsid w:val="00C13962"/>
    <w:rsid w:val="00C40BE7"/>
    <w:rsid w:val="00C44928"/>
    <w:rsid w:val="00C64DB6"/>
    <w:rsid w:val="00C8382B"/>
    <w:rsid w:val="00C941F1"/>
    <w:rsid w:val="00C95FCF"/>
    <w:rsid w:val="00CA019C"/>
    <w:rsid w:val="00CB0318"/>
    <w:rsid w:val="00D12DA6"/>
    <w:rsid w:val="00D21256"/>
    <w:rsid w:val="00D40738"/>
    <w:rsid w:val="00D532CE"/>
    <w:rsid w:val="00D631D6"/>
    <w:rsid w:val="00DA489C"/>
    <w:rsid w:val="00DA7B93"/>
    <w:rsid w:val="00E04DC7"/>
    <w:rsid w:val="00E16CC0"/>
    <w:rsid w:val="00E40685"/>
    <w:rsid w:val="00E4446C"/>
    <w:rsid w:val="00E61A17"/>
    <w:rsid w:val="00E745CD"/>
    <w:rsid w:val="00EA3656"/>
    <w:rsid w:val="00EF2515"/>
    <w:rsid w:val="00F02135"/>
    <w:rsid w:val="00F24702"/>
    <w:rsid w:val="00F93A1C"/>
    <w:rsid w:val="00FB28DA"/>
    <w:rsid w:val="00FD6DE8"/>
    <w:rsid w:val="00FE4F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3F1E"/>
  <w15:docId w15:val="{51D46D7D-93EE-4F7C-A660-3BC1BF70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684A"/>
    <w:pPr>
      <w:spacing w:after="0" w:line="240" w:lineRule="auto"/>
    </w:pPr>
    <w:rPr>
      <w:rFonts w:ascii="Arial" w:eastAsia="Times New Roman" w:hAnsi="Arial" w:cs="Arial"/>
      <w:sz w:val="24"/>
      <w:szCs w:val="20"/>
      <w:lang w:eastAsia="ar-SA"/>
    </w:rPr>
  </w:style>
  <w:style w:type="paragraph" w:styleId="berschrift1">
    <w:name w:val="heading 1"/>
    <w:basedOn w:val="Standard"/>
    <w:next w:val="Standard"/>
    <w:link w:val="berschrift1Zchn"/>
    <w:qFormat/>
    <w:rsid w:val="00C0684A"/>
    <w:pPr>
      <w:keepNext/>
      <w:numPr>
        <w:numId w:val="2"/>
      </w:numPr>
      <w:spacing w:before="480"/>
      <w:ind w:left="284" w:hanging="284"/>
      <w:outlineLvl w:val="0"/>
    </w:pPr>
    <w:rPr>
      <w:b/>
      <w:u w:val="single"/>
    </w:rPr>
  </w:style>
  <w:style w:type="paragraph" w:styleId="berschrift2">
    <w:name w:val="heading 2"/>
    <w:basedOn w:val="Standard"/>
    <w:next w:val="Standard"/>
    <w:link w:val="berschrift2Zchn"/>
    <w:uiPriority w:val="9"/>
    <w:semiHidden/>
    <w:unhideWhenUsed/>
    <w:qFormat/>
    <w:rsid w:val="00C068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0684A"/>
    <w:rPr>
      <w:rFonts w:ascii="Arial" w:eastAsia="Times New Roman" w:hAnsi="Arial" w:cs="Arial"/>
      <w:b/>
      <w:sz w:val="24"/>
      <w:szCs w:val="20"/>
      <w:u w:val="single"/>
      <w:lang w:eastAsia="ar-SA"/>
    </w:rPr>
  </w:style>
  <w:style w:type="character" w:customStyle="1" w:styleId="berschrift2Zchn">
    <w:name w:val="Überschrift 2 Zchn"/>
    <w:basedOn w:val="Absatz-Standardschriftart"/>
    <w:link w:val="berschrift2"/>
    <w:uiPriority w:val="9"/>
    <w:semiHidden/>
    <w:rsid w:val="00C0684A"/>
    <w:rPr>
      <w:rFonts w:asciiTheme="majorHAnsi" w:eastAsiaTheme="majorEastAsia" w:hAnsiTheme="majorHAnsi" w:cstheme="majorBidi"/>
      <w:b/>
      <w:bCs/>
      <w:color w:val="4F81BD" w:themeColor="accent1"/>
      <w:sz w:val="26"/>
      <w:szCs w:val="26"/>
      <w:lang w:eastAsia="ar-SA"/>
    </w:rPr>
  </w:style>
  <w:style w:type="paragraph" w:styleId="Listenabsatz">
    <w:name w:val="List Paragraph"/>
    <w:basedOn w:val="Standard"/>
    <w:uiPriority w:val="34"/>
    <w:qFormat/>
    <w:rsid w:val="00791325"/>
    <w:pPr>
      <w:ind w:left="720"/>
      <w:contextualSpacing/>
    </w:pPr>
  </w:style>
  <w:style w:type="paragraph" w:styleId="Sprechblasentext">
    <w:name w:val="Balloon Text"/>
    <w:basedOn w:val="Standard"/>
    <w:link w:val="SprechblasentextZchn"/>
    <w:uiPriority w:val="99"/>
    <w:semiHidden/>
    <w:unhideWhenUsed/>
    <w:rsid w:val="001E18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1892"/>
    <w:rPr>
      <w:rFonts w:ascii="Tahoma" w:eastAsia="Times New Roman" w:hAnsi="Tahoma" w:cs="Tahoma"/>
      <w:sz w:val="16"/>
      <w:szCs w:val="16"/>
      <w:lang w:eastAsia="ar-SA"/>
    </w:rPr>
  </w:style>
  <w:style w:type="character" w:styleId="Kommentarzeichen">
    <w:name w:val="annotation reference"/>
    <w:basedOn w:val="Absatz-Standardschriftart"/>
    <w:uiPriority w:val="99"/>
    <w:semiHidden/>
    <w:unhideWhenUsed/>
    <w:rsid w:val="00E61A17"/>
    <w:rPr>
      <w:sz w:val="16"/>
      <w:szCs w:val="16"/>
    </w:rPr>
  </w:style>
  <w:style w:type="paragraph" w:styleId="Kommentartext">
    <w:name w:val="annotation text"/>
    <w:basedOn w:val="Standard"/>
    <w:link w:val="KommentartextZchn"/>
    <w:uiPriority w:val="99"/>
    <w:semiHidden/>
    <w:unhideWhenUsed/>
    <w:rsid w:val="00E61A17"/>
    <w:rPr>
      <w:sz w:val="20"/>
    </w:rPr>
  </w:style>
  <w:style w:type="character" w:customStyle="1" w:styleId="KommentartextZchn">
    <w:name w:val="Kommentartext Zchn"/>
    <w:basedOn w:val="Absatz-Standardschriftart"/>
    <w:link w:val="Kommentartext"/>
    <w:uiPriority w:val="99"/>
    <w:semiHidden/>
    <w:rsid w:val="00E61A17"/>
    <w:rPr>
      <w:rFonts w:ascii="Arial" w:eastAsia="Times New Roman" w:hAnsi="Arial" w:cs="Arial"/>
      <w:sz w:val="20"/>
      <w:szCs w:val="20"/>
      <w:lang w:eastAsia="ar-SA"/>
    </w:rPr>
  </w:style>
  <w:style w:type="paragraph" w:styleId="Kommentarthema">
    <w:name w:val="annotation subject"/>
    <w:basedOn w:val="Kommentartext"/>
    <w:next w:val="Kommentartext"/>
    <w:link w:val="KommentarthemaZchn"/>
    <w:uiPriority w:val="99"/>
    <w:semiHidden/>
    <w:unhideWhenUsed/>
    <w:rsid w:val="00E61A17"/>
    <w:rPr>
      <w:b/>
      <w:bCs/>
    </w:rPr>
  </w:style>
  <w:style w:type="character" w:customStyle="1" w:styleId="KommentarthemaZchn">
    <w:name w:val="Kommentarthema Zchn"/>
    <w:basedOn w:val="KommentartextZchn"/>
    <w:link w:val="Kommentarthema"/>
    <w:uiPriority w:val="99"/>
    <w:semiHidden/>
    <w:rsid w:val="00E61A17"/>
    <w:rPr>
      <w:rFonts w:ascii="Arial" w:eastAsia="Times New Roman" w:hAnsi="Arial" w:cs="Arial"/>
      <w:b/>
      <w:bCs/>
      <w:sz w:val="20"/>
      <w:szCs w:val="20"/>
      <w:lang w:eastAsia="ar-SA"/>
    </w:rPr>
  </w:style>
  <w:style w:type="paragraph" w:styleId="Kopfzeile">
    <w:name w:val="header"/>
    <w:basedOn w:val="Standard"/>
    <w:link w:val="KopfzeileZchn"/>
    <w:uiPriority w:val="99"/>
    <w:unhideWhenUsed/>
    <w:rsid w:val="008E7739"/>
    <w:pPr>
      <w:tabs>
        <w:tab w:val="center" w:pos="4536"/>
        <w:tab w:val="right" w:pos="9072"/>
      </w:tabs>
    </w:pPr>
  </w:style>
  <w:style w:type="character" w:customStyle="1" w:styleId="KopfzeileZchn">
    <w:name w:val="Kopfzeile Zchn"/>
    <w:basedOn w:val="Absatz-Standardschriftart"/>
    <w:link w:val="Kopfzeile"/>
    <w:uiPriority w:val="99"/>
    <w:rsid w:val="008E7739"/>
    <w:rPr>
      <w:rFonts w:ascii="Arial" w:eastAsia="Times New Roman" w:hAnsi="Arial" w:cs="Arial"/>
      <w:sz w:val="24"/>
      <w:szCs w:val="20"/>
      <w:lang w:eastAsia="ar-SA"/>
    </w:rPr>
  </w:style>
  <w:style w:type="paragraph" w:styleId="Fuzeile">
    <w:name w:val="footer"/>
    <w:basedOn w:val="Standard"/>
    <w:link w:val="FuzeileZchn"/>
    <w:uiPriority w:val="99"/>
    <w:semiHidden/>
    <w:unhideWhenUsed/>
    <w:rsid w:val="008E7739"/>
    <w:pPr>
      <w:tabs>
        <w:tab w:val="center" w:pos="4536"/>
        <w:tab w:val="right" w:pos="9072"/>
      </w:tabs>
    </w:pPr>
  </w:style>
  <w:style w:type="character" w:customStyle="1" w:styleId="FuzeileZchn">
    <w:name w:val="Fußzeile Zchn"/>
    <w:basedOn w:val="Absatz-Standardschriftart"/>
    <w:link w:val="Fuzeile"/>
    <w:uiPriority w:val="99"/>
    <w:semiHidden/>
    <w:rsid w:val="008E7739"/>
    <w:rPr>
      <w:rFonts w:ascii="Arial" w:eastAsia="Times New Roman" w:hAnsi="Arial" w:cs="Arial"/>
      <w:sz w:val="24"/>
      <w:szCs w:val="20"/>
      <w:lang w:eastAsia="ar-SA"/>
    </w:rPr>
  </w:style>
  <w:style w:type="character" w:styleId="Seitenzahl">
    <w:name w:val="page number"/>
    <w:basedOn w:val="Absatz-Standardschriftart"/>
    <w:rsid w:val="008E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4A210-9269-4C6C-A298-597AE1C8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E415FFB2.dotm</Template>
  <TotalTime>0</TotalTime>
  <Pages>2</Pages>
  <Words>603</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U32h028</dc:creator>
  <cp:keywords/>
  <dc:description/>
  <cp:lastModifiedBy>U103007</cp:lastModifiedBy>
  <cp:revision>48</cp:revision>
  <cp:lastPrinted>2017-09-14T16:12:00Z</cp:lastPrinted>
  <dcterms:created xsi:type="dcterms:W3CDTF">2017-01-29T12:28:00Z</dcterms:created>
  <dcterms:modified xsi:type="dcterms:W3CDTF">2017-09-14T16:13:00Z</dcterms:modified>
</cp:coreProperties>
</file>