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84A" w:rsidRDefault="00C0684A" w:rsidP="00C0684A">
      <w:pPr>
        <w:tabs>
          <w:tab w:val="left" w:pos="5812"/>
        </w:tabs>
        <w:jc w:val="right"/>
      </w:pPr>
      <w:r>
        <w:rPr>
          <w:szCs w:val="24"/>
        </w:rPr>
        <w:t xml:space="preserve">Anlage </w:t>
      </w:r>
      <w:r w:rsidR="00CC5624">
        <w:rPr>
          <w:szCs w:val="24"/>
        </w:rPr>
        <w:fldChar w:fldCharType="begin"/>
      </w:r>
      <w:r>
        <w:rPr>
          <w:szCs w:val="24"/>
        </w:rPr>
        <w:instrText xml:space="preserve"> FILLIN ""</w:instrText>
      </w:r>
      <w:r w:rsidR="00CC5624">
        <w:rPr>
          <w:szCs w:val="24"/>
        </w:rPr>
        <w:fldChar w:fldCharType="separate"/>
      </w:r>
      <w:r w:rsidR="004E2FC0">
        <w:rPr>
          <w:szCs w:val="24"/>
        </w:rPr>
        <w:t>13</w:t>
      </w:r>
      <w:r w:rsidR="00CC5624">
        <w:rPr>
          <w:szCs w:val="24"/>
        </w:rPr>
        <w:fldChar w:fldCharType="end"/>
      </w:r>
      <w:r>
        <w:rPr>
          <w:szCs w:val="24"/>
        </w:rPr>
        <w:t xml:space="preserve"> zur </w:t>
      </w:r>
      <w:proofErr w:type="spellStart"/>
      <w:r>
        <w:rPr>
          <w:szCs w:val="24"/>
        </w:rPr>
        <w:t>GRDrs</w:t>
      </w:r>
      <w:proofErr w:type="spellEnd"/>
      <w:r>
        <w:rPr>
          <w:szCs w:val="24"/>
        </w:rPr>
        <w:t xml:space="preserve"> </w:t>
      </w:r>
      <w:r w:rsidR="00C00AF1">
        <w:rPr>
          <w:szCs w:val="24"/>
        </w:rPr>
        <w:t>831/</w:t>
      </w:r>
      <w:r w:rsidR="001E1892">
        <w:rPr>
          <w:szCs w:val="24"/>
        </w:rPr>
        <w:t>2017</w:t>
      </w:r>
    </w:p>
    <w:p w:rsidR="00C0684A" w:rsidRDefault="00C0684A" w:rsidP="00C0684A"/>
    <w:p w:rsidR="00852F37" w:rsidRDefault="00852F37" w:rsidP="00C0684A"/>
    <w:p w:rsidR="00C0684A" w:rsidRDefault="00C0684A" w:rsidP="00C0684A">
      <w:pPr>
        <w:tabs>
          <w:tab w:val="left" w:pos="6521"/>
        </w:tabs>
        <w:jc w:val="center"/>
        <w:rPr>
          <w:b/>
          <w:sz w:val="36"/>
        </w:rPr>
      </w:pPr>
      <w:r>
        <w:rPr>
          <w:b/>
          <w:sz w:val="36"/>
          <w:u w:val="single"/>
        </w:rPr>
        <w:t>Stellen</w:t>
      </w:r>
      <w:r w:rsidR="00744E64">
        <w:rPr>
          <w:b/>
          <w:sz w:val="36"/>
          <w:u w:val="single"/>
        </w:rPr>
        <w:t>schaffung</w:t>
      </w:r>
    </w:p>
    <w:p w:rsidR="00C0684A" w:rsidRPr="005320F3" w:rsidRDefault="00C00AF1" w:rsidP="00C0684A">
      <w:pPr>
        <w:tabs>
          <w:tab w:val="left" w:pos="6521"/>
        </w:tabs>
        <w:jc w:val="center"/>
        <w:rPr>
          <w:u w:val="single"/>
        </w:rPr>
      </w:pPr>
      <w:r>
        <w:rPr>
          <w:b/>
          <w:sz w:val="36"/>
          <w:u w:val="single"/>
        </w:rPr>
        <w:t>zum Stellenplan 2018</w:t>
      </w:r>
    </w:p>
    <w:p w:rsidR="00DA489C" w:rsidRDefault="00DA489C" w:rsidP="00C0684A"/>
    <w:p w:rsidR="004E2FC0" w:rsidRDefault="004E2FC0" w:rsidP="00C0684A"/>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4E2FC0" w:rsidRPr="006E0575" w:rsidTr="009A753F">
        <w:trPr>
          <w:tblHeader/>
        </w:trPr>
        <w:tc>
          <w:tcPr>
            <w:tcW w:w="1814" w:type="dxa"/>
            <w:shd w:val="pct12" w:color="auto" w:fill="FFFFFF"/>
            <w:vAlign w:val="center"/>
          </w:tcPr>
          <w:p w:rsidR="004E2FC0" w:rsidRPr="006E0575" w:rsidRDefault="004E2FC0" w:rsidP="009A753F">
            <w:pPr>
              <w:spacing w:before="60" w:after="60" w:line="200" w:lineRule="exact"/>
              <w:ind w:left="-85" w:right="-85"/>
              <w:rPr>
                <w:sz w:val="16"/>
                <w:szCs w:val="16"/>
              </w:rPr>
            </w:pPr>
            <w:r>
              <w:rPr>
                <w:sz w:val="16"/>
                <w:szCs w:val="16"/>
              </w:rPr>
              <w:t xml:space="preserve"> </w:t>
            </w:r>
            <w:r w:rsidRPr="006E0575">
              <w:rPr>
                <w:sz w:val="16"/>
                <w:szCs w:val="16"/>
              </w:rPr>
              <w:t>Org.</w:t>
            </w:r>
            <w:r>
              <w:rPr>
                <w:sz w:val="16"/>
                <w:szCs w:val="16"/>
              </w:rPr>
              <w:t>-E</w:t>
            </w:r>
            <w:r w:rsidRPr="006E0575">
              <w:rPr>
                <w:sz w:val="16"/>
                <w:szCs w:val="16"/>
              </w:rPr>
              <w:t>inheit</w:t>
            </w:r>
            <w:r w:rsidRPr="006E0575">
              <w:rPr>
                <w:sz w:val="16"/>
                <w:szCs w:val="16"/>
              </w:rPr>
              <w:br/>
            </w:r>
            <w:r>
              <w:rPr>
                <w:sz w:val="16"/>
                <w:szCs w:val="16"/>
              </w:rPr>
              <w:br/>
              <w:t xml:space="preserve"> Kostenstelle</w:t>
            </w:r>
          </w:p>
        </w:tc>
        <w:tc>
          <w:tcPr>
            <w:tcW w:w="1701" w:type="dxa"/>
            <w:shd w:val="pct12" w:color="auto" w:fill="FFFFFF"/>
            <w:vAlign w:val="center"/>
          </w:tcPr>
          <w:p w:rsidR="004E2FC0" w:rsidRPr="006E0575" w:rsidRDefault="004E2FC0" w:rsidP="009A753F">
            <w:pPr>
              <w:spacing w:before="60" w:after="60" w:line="200" w:lineRule="exact"/>
              <w:ind w:left="-85" w:right="-85"/>
              <w:rPr>
                <w:sz w:val="16"/>
                <w:szCs w:val="16"/>
              </w:rPr>
            </w:pPr>
            <w:r>
              <w:rPr>
                <w:sz w:val="16"/>
                <w:szCs w:val="16"/>
              </w:rPr>
              <w:t xml:space="preserve"> </w:t>
            </w:r>
            <w:r w:rsidRPr="006E0575">
              <w:rPr>
                <w:sz w:val="16"/>
                <w:szCs w:val="16"/>
              </w:rPr>
              <w:t>Amt</w:t>
            </w:r>
          </w:p>
        </w:tc>
        <w:tc>
          <w:tcPr>
            <w:tcW w:w="794" w:type="dxa"/>
            <w:shd w:val="pct12" w:color="auto" w:fill="FFFFFF"/>
            <w:vAlign w:val="center"/>
          </w:tcPr>
          <w:p w:rsidR="004E2FC0" w:rsidRDefault="004E2FC0" w:rsidP="009A753F">
            <w:pPr>
              <w:spacing w:before="60" w:after="60" w:line="200" w:lineRule="exact"/>
              <w:ind w:left="-85" w:right="-85"/>
              <w:rPr>
                <w:sz w:val="16"/>
                <w:szCs w:val="16"/>
              </w:rPr>
            </w:pPr>
            <w:r>
              <w:rPr>
                <w:sz w:val="16"/>
                <w:szCs w:val="16"/>
              </w:rPr>
              <w:t xml:space="preserve"> </w:t>
            </w:r>
            <w:proofErr w:type="spellStart"/>
            <w:r>
              <w:rPr>
                <w:sz w:val="16"/>
                <w:szCs w:val="16"/>
              </w:rPr>
              <w:t>BesGr</w:t>
            </w:r>
            <w:proofErr w:type="spellEnd"/>
            <w:r>
              <w:rPr>
                <w:sz w:val="16"/>
                <w:szCs w:val="16"/>
              </w:rPr>
              <w:t>.</w:t>
            </w:r>
          </w:p>
          <w:p w:rsidR="004E2FC0" w:rsidRDefault="004E2FC0" w:rsidP="009A753F">
            <w:pPr>
              <w:spacing w:before="60" w:after="60" w:line="200" w:lineRule="exact"/>
              <w:ind w:left="-85" w:right="-85"/>
              <w:rPr>
                <w:sz w:val="16"/>
                <w:szCs w:val="16"/>
              </w:rPr>
            </w:pPr>
            <w:r>
              <w:rPr>
                <w:sz w:val="16"/>
                <w:szCs w:val="16"/>
              </w:rPr>
              <w:t xml:space="preserve"> oder</w:t>
            </w:r>
          </w:p>
          <w:p w:rsidR="004E2FC0" w:rsidRPr="006E0575" w:rsidRDefault="004E2FC0" w:rsidP="009A753F">
            <w:pPr>
              <w:spacing w:before="60" w:after="60" w:line="200" w:lineRule="exact"/>
              <w:ind w:left="-85" w:right="-85"/>
              <w:rPr>
                <w:sz w:val="16"/>
                <w:szCs w:val="16"/>
              </w:rPr>
            </w:pPr>
            <w:r>
              <w:rPr>
                <w:sz w:val="16"/>
                <w:szCs w:val="16"/>
              </w:rPr>
              <w:t xml:space="preserve"> EG</w:t>
            </w:r>
          </w:p>
        </w:tc>
        <w:tc>
          <w:tcPr>
            <w:tcW w:w="1928" w:type="dxa"/>
            <w:shd w:val="pct12" w:color="auto" w:fill="FFFFFF"/>
            <w:vAlign w:val="center"/>
          </w:tcPr>
          <w:p w:rsidR="004E2FC0" w:rsidRPr="006E0575" w:rsidRDefault="004E2FC0" w:rsidP="009A753F">
            <w:pPr>
              <w:spacing w:before="60" w:after="60" w:line="200" w:lineRule="exact"/>
              <w:ind w:left="-85" w:right="-85"/>
              <w:rPr>
                <w:sz w:val="16"/>
                <w:szCs w:val="16"/>
              </w:rPr>
            </w:pPr>
            <w:r>
              <w:rPr>
                <w:sz w:val="16"/>
                <w:szCs w:val="16"/>
              </w:rPr>
              <w:t xml:space="preserve"> </w:t>
            </w:r>
            <w:r w:rsidRPr="006E0575">
              <w:rPr>
                <w:sz w:val="16"/>
                <w:szCs w:val="16"/>
              </w:rPr>
              <w:t>Funktionsbezeichnung</w:t>
            </w:r>
          </w:p>
        </w:tc>
        <w:tc>
          <w:tcPr>
            <w:tcW w:w="737" w:type="dxa"/>
            <w:shd w:val="pct12" w:color="auto" w:fill="FFFFFF"/>
            <w:vAlign w:val="center"/>
          </w:tcPr>
          <w:p w:rsidR="004E2FC0" w:rsidRPr="006E0575" w:rsidRDefault="004E2FC0" w:rsidP="009A753F">
            <w:pPr>
              <w:spacing w:before="60" w:after="60" w:line="200" w:lineRule="exact"/>
              <w:ind w:left="-85" w:right="-85"/>
              <w:rPr>
                <w:sz w:val="16"/>
                <w:szCs w:val="16"/>
              </w:rPr>
            </w:pPr>
            <w:r>
              <w:rPr>
                <w:sz w:val="16"/>
                <w:szCs w:val="16"/>
              </w:rPr>
              <w:t xml:space="preserve"> </w:t>
            </w:r>
            <w:r w:rsidRPr="006E0575">
              <w:rPr>
                <w:sz w:val="16"/>
                <w:szCs w:val="16"/>
              </w:rPr>
              <w:t>Anzahl</w:t>
            </w:r>
            <w:r>
              <w:rPr>
                <w:sz w:val="16"/>
                <w:szCs w:val="16"/>
              </w:rPr>
              <w:br/>
              <w:t xml:space="preserve"> </w:t>
            </w:r>
            <w:r w:rsidRPr="006E0575">
              <w:rPr>
                <w:sz w:val="16"/>
                <w:szCs w:val="16"/>
              </w:rPr>
              <w:t>der</w:t>
            </w:r>
            <w:r w:rsidRPr="006E0575">
              <w:rPr>
                <w:sz w:val="16"/>
                <w:szCs w:val="16"/>
              </w:rPr>
              <w:br/>
            </w:r>
            <w:r>
              <w:rPr>
                <w:sz w:val="16"/>
                <w:szCs w:val="16"/>
              </w:rPr>
              <w:t xml:space="preserve"> </w:t>
            </w:r>
            <w:r w:rsidRPr="006E0575">
              <w:rPr>
                <w:sz w:val="16"/>
                <w:szCs w:val="16"/>
              </w:rPr>
              <w:t>Stellen</w:t>
            </w:r>
          </w:p>
        </w:tc>
        <w:tc>
          <w:tcPr>
            <w:tcW w:w="1134" w:type="dxa"/>
            <w:shd w:val="pct12" w:color="auto" w:fill="FFFFFF"/>
            <w:vAlign w:val="center"/>
          </w:tcPr>
          <w:p w:rsidR="004E2FC0" w:rsidRPr="006E0575" w:rsidRDefault="004E2FC0" w:rsidP="009A753F">
            <w:pPr>
              <w:spacing w:before="60" w:after="60" w:line="200" w:lineRule="exact"/>
              <w:ind w:left="-85" w:right="-85"/>
              <w:rPr>
                <w:sz w:val="16"/>
                <w:szCs w:val="16"/>
              </w:rPr>
            </w:pPr>
            <w:r>
              <w:rPr>
                <w:sz w:val="16"/>
                <w:szCs w:val="16"/>
              </w:rPr>
              <w:t xml:space="preserve"> </w:t>
            </w:r>
            <w:r w:rsidRPr="006E0575">
              <w:rPr>
                <w:sz w:val="16"/>
                <w:szCs w:val="16"/>
              </w:rPr>
              <w:t>Stellen-</w:t>
            </w:r>
            <w:r w:rsidRPr="006E0575">
              <w:rPr>
                <w:sz w:val="16"/>
                <w:szCs w:val="16"/>
              </w:rPr>
              <w:br/>
            </w:r>
            <w:r>
              <w:rPr>
                <w:sz w:val="16"/>
                <w:szCs w:val="16"/>
              </w:rPr>
              <w:t xml:space="preserve"> </w:t>
            </w:r>
            <w:r w:rsidRPr="006E0575">
              <w:rPr>
                <w:sz w:val="16"/>
                <w:szCs w:val="16"/>
              </w:rPr>
              <w:t>vermerk</w:t>
            </w:r>
          </w:p>
        </w:tc>
        <w:tc>
          <w:tcPr>
            <w:tcW w:w="1417" w:type="dxa"/>
            <w:shd w:val="pct12" w:color="auto" w:fill="FFFFFF"/>
            <w:vAlign w:val="center"/>
          </w:tcPr>
          <w:p w:rsidR="004E2FC0" w:rsidRPr="006E0575" w:rsidRDefault="004E2FC0" w:rsidP="009A753F">
            <w:pPr>
              <w:spacing w:before="60" w:after="60" w:line="200" w:lineRule="exact"/>
              <w:ind w:left="-85" w:right="-85"/>
              <w:rPr>
                <w:sz w:val="16"/>
                <w:szCs w:val="16"/>
              </w:rPr>
            </w:pPr>
            <w:r>
              <w:rPr>
                <w:sz w:val="16"/>
                <w:szCs w:val="16"/>
              </w:rPr>
              <w:t xml:space="preserve"> </w:t>
            </w:r>
            <w:proofErr w:type="spellStart"/>
            <w:r>
              <w:rPr>
                <w:sz w:val="16"/>
                <w:szCs w:val="16"/>
              </w:rPr>
              <w:t>d</w:t>
            </w:r>
            <w:r w:rsidRPr="006E0575">
              <w:rPr>
                <w:sz w:val="16"/>
                <w:szCs w:val="16"/>
              </w:rPr>
              <w:t>urchschnittl</w:t>
            </w:r>
            <w:proofErr w:type="spellEnd"/>
            <w:r w:rsidRPr="006E0575">
              <w:rPr>
                <w:sz w:val="16"/>
                <w:szCs w:val="16"/>
              </w:rPr>
              <w:t>.</w:t>
            </w:r>
            <w:r>
              <w:rPr>
                <w:sz w:val="16"/>
                <w:szCs w:val="16"/>
              </w:rPr>
              <w:t xml:space="preserve"> </w:t>
            </w:r>
            <w:proofErr w:type="spellStart"/>
            <w:r>
              <w:rPr>
                <w:sz w:val="16"/>
                <w:szCs w:val="16"/>
              </w:rPr>
              <w:t>jährl</w:t>
            </w:r>
            <w:proofErr w:type="spellEnd"/>
            <w:r>
              <w:rPr>
                <w:sz w:val="16"/>
                <w:szCs w:val="16"/>
              </w:rPr>
              <w:t>.</w:t>
            </w:r>
            <w:r>
              <w:rPr>
                <w:sz w:val="16"/>
                <w:szCs w:val="16"/>
              </w:rPr>
              <w:br/>
              <w:t xml:space="preserve"> kostenwirksamer</w:t>
            </w:r>
            <w:r>
              <w:rPr>
                <w:sz w:val="16"/>
                <w:szCs w:val="16"/>
              </w:rPr>
              <w:br/>
              <w:t xml:space="preserve"> </w:t>
            </w:r>
            <w:r w:rsidRPr="006E0575">
              <w:rPr>
                <w:sz w:val="16"/>
                <w:szCs w:val="16"/>
              </w:rPr>
              <w:t>Auf</w:t>
            </w:r>
            <w:r>
              <w:rPr>
                <w:sz w:val="16"/>
                <w:szCs w:val="16"/>
              </w:rPr>
              <w:t>wand in €</w:t>
            </w:r>
          </w:p>
        </w:tc>
      </w:tr>
      <w:tr w:rsidR="004E2FC0" w:rsidRPr="006E0575" w:rsidTr="009A753F">
        <w:tc>
          <w:tcPr>
            <w:tcW w:w="1814" w:type="dxa"/>
          </w:tcPr>
          <w:p w:rsidR="004E2FC0" w:rsidRDefault="004E2FC0" w:rsidP="004E2FC0">
            <w:pPr>
              <w:rPr>
                <w:sz w:val="20"/>
              </w:rPr>
            </w:pPr>
          </w:p>
          <w:p w:rsidR="004E2FC0" w:rsidRDefault="004E2FC0" w:rsidP="004E2FC0">
            <w:pPr>
              <w:rPr>
                <w:sz w:val="20"/>
              </w:rPr>
            </w:pPr>
            <w:r>
              <w:rPr>
                <w:sz w:val="20"/>
              </w:rPr>
              <w:t>320.02.01. …</w:t>
            </w:r>
          </w:p>
          <w:p w:rsidR="004E2FC0" w:rsidRDefault="004E2FC0" w:rsidP="004E2FC0">
            <w:pPr>
              <w:rPr>
                <w:sz w:val="20"/>
              </w:rPr>
            </w:pPr>
          </w:p>
          <w:p w:rsidR="004E2FC0" w:rsidRDefault="004E2FC0" w:rsidP="004E2FC0">
            <w:pPr>
              <w:rPr>
                <w:sz w:val="20"/>
              </w:rPr>
            </w:pPr>
            <w:r>
              <w:rPr>
                <w:sz w:val="20"/>
              </w:rPr>
              <w:t>32215212</w:t>
            </w:r>
          </w:p>
          <w:p w:rsidR="004E2FC0" w:rsidRPr="006E0575" w:rsidRDefault="004E2FC0" w:rsidP="004E2FC0">
            <w:pPr>
              <w:rPr>
                <w:sz w:val="20"/>
              </w:rPr>
            </w:pPr>
          </w:p>
        </w:tc>
        <w:tc>
          <w:tcPr>
            <w:tcW w:w="1701" w:type="dxa"/>
          </w:tcPr>
          <w:p w:rsidR="004E2FC0" w:rsidRDefault="004E2FC0" w:rsidP="009A753F">
            <w:pPr>
              <w:rPr>
                <w:sz w:val="20"/>
              </w:rPr>
            </w:pPr>
          </w:p>
          <w:p w:rsidR="004E2FC0" w:rsidRPr="006E0575" w:rsidRDefault="004E2FC0" w:rsidP="009A753F">
            <w:pPr>
              <w:rPr>
                <w:sz w:val="20"/>
              </w:rPr>
            </w:pPr>
            <w:r>
              <w:rPr>
                <w:sz w:val="20"/>
              </w:rPr>
              <w:t>Amt für öffentliche Ordnung</w:t>
            </w:r>
          </w:p>
        </w:tc>
        <w:tc>
          <w:tcPr>
            <w:tcW w:w="794" w:type="dxa"/>
          </w:tcPr>
          <w:p w:rsidR="004E2FC0" w:rsidRDefault="004E2FC0" w:rsidP="009A753F">
            <w:pPr>
              <w:rPr>
                <w:sz w:val="20"/>
              </w:rPr>
            </w:pPr>
          </w:p>
          <w:p w:rsidR="004E2FC0" w:rsidRPr="006E0575" w:rsidRDefault="004E2FC0" w:rsidP="009A753F">
            <w:pPr>
              <w:rPr>
                <w:sz w:val="20"/>
              </w:rPr>
            </w:pPr>
            <w:r>
              <w:rPr>
                <w:sz w:val="20"/>
              </w:rPr>
              <w:t>EG 8</w:t>
            </w:r>
          </w:p>
        </w:tc>
        <w:tc>
          <w:tcPr>
            <w:tcW w:w="1928" w:type="dxa"/>
          </w:tcPr>
          <w:p w:rsidR="004E2FC0" w:rsidRDefault="004E2FC0" w:rsidP="004E2FC0">
            <w:pPr>
              <w:rPr>
                <w:sz w:val="20"/>
              </w:rPr>
            </w:pPr>
          </w:p>
          <w:p w:rsidR="004E2FC0" w:rsidRDefault="004E2FC0" w:rsidP="004E2FC0">
            <w:pPr>
              <w:rPr>
                <w:sz w:val="20"/>
              </w:rPr>
            </w:pPr>
            <w:r>
              <w:rPr>
                <w:sz w:val="20"/>
              </w:rPr>
              <w:t>Beschäftigte im Städtischen</w:t>
            </w:r>
          </w:p>
          <w:p w:rsidR="004E2FC0" w:rsidRDefault="004E2FC0" w:rsidP="004E2FC0">
            <w:pPr>
              <w:rPr>
                <w:sz w:val="20"/>
              </w:rPr>
            </w:pPr>
            <w:r>
              <w:rPr>
                <w:sz w:val="20"/>
              </w:rPr>
              <w:t>Vollzugsdienst</w:t>
            </w:r>
          </w:p>
          <w:p w:rsidR="004E2FC0" w:rsidRPr="006E0575" w:rsidRDefault="004E2FC0" w:rsidP="009A753F">
            <w:pPr>
              <w:rPr>
                <w:sz w:val="20"/>
              </w:rPr>
            </w:pPr>
          </w:p>
        </w:tc>
        <w:tc>
          <w:tcPr>
            <w:tcW w:w="737" w:type="dxa"/>
            <w:shd w:val="pct12" w:color="auto" w:fill="FFFFFF"/>
          </w:tcPr>
          <w:p w:rsidR="004E2FC0" w:rsidRDefault="004E2FC0" w:rsidP="009A753F">
            <w:pPr>
              <w:rPr>
                <w:sz w:val="20"/>
              </w:rPr>
            </w:pPr>
          </w:p>
          <w:p w:rsidR="004E2FC0" w:rsidRPr="006E0575" w:rsidRDefault="004E2FC0" w:rsidP="009A753F">
            <w:pPr>
              <w:rPr>
                <w:sz w:val="20"/>
              </w:rPr>
            </w:pPr>
            <w:r>
              <w:rPr>
                <w:sz w:val="20"/>
              </w:rPr>
              <w:t>12,0</w:t>
            </w:r>
          </w:p>
        </w:tc>
        <w:tc>
          <w:tcPr>
            <w:tcW w:w="1134" w:type="dxa"/>
          </w:tcPr>
          <w:p w:rsidR="004E2FC0" w:rsidRDefault="004E2FC0" w:rsidP="009A753F">
            <w:pPr>
              <w:rPr>
                <w:sz w:val="20"/>
              </w:rPr>
            </w:pPr>
          </w:p>
          <w:p w:rsidR="004E2FC0" w:rsidRPr="006E0575" w:rsidRDefault="004E2FC0" w:rsidP="009A753F">
            <w:pPr>
              <w:jc w:val="center"/>
              <w:rPr>
                <w:sz w:val="20"/>
              </w:rPr>
            </w:pPr>
            <w:r>
              <w:rPr>
                <w:sz w:val="20"/>
              </w:rPr>
              <w:t>--</w:t>
            </w:r>
          </w:p>
        </w:tc>
        <w:tc>
          <w:tcPr>
            <w:tcW w:w="1417" w:type="dxa"/>
          </w:tcPr>
          <w:p w:rsidR="004E2FC0" w:rsidRDefault="004E2FC0" w:rsidP="009A753F">
            <w:pPr>
              <w:rPr>
                <w:sz w:val="20"/>
              </w:rPr>
            </w:pPr>
          </w:p>
          <w:p w:rsidR="004E2FC0" w:rsidRPr="006E0575" w:rsidRDefault="004E2FC0" w:rsidP="009A753F">
            <w:pPr>
              <w:jc w:val="center"/>
              <w:rPr>
                <w:sz w:val="20"/>
              </w:rPr>
            </w:pPr>
            <w:r>
              <w:rPr>
                <w:sz w:val="20"/>
              </w:rPr>
              <w:t>626.400</w:t>
            </w:r>
          </w:p>
        </w:tc>
      </w:tr>
    </w:tbl>
    <w:p w:rsidR="00852F37" w:rsidRDefault="00852F37" w:rsidP="00C0684A"/>
    <w:p w:rsidR="00C0684A" w:rsidRPr="003972AC" w:rsidRDefault="00FA2D93" w:rsidP="00A75A88">
      <w:pPr>
        <w:pStyle w:val="berschrift1"/>
        <w:numPr>
          <w:ilvl w:val="0"/>
          <w:numId w:val="0"/>
        </w:numPr>
        <w:ind w:left="284" w:hanging="284"/>
      </w:pPr>
      <w:r w:rsidRPr="003972AC">
        <w:t>1</w:t>
      </w:r>
      <w:r w:rsidR="00C0684A" w:rsidRPr="003972AC">
        <w:tab/>
        <w:t>Antrag, Stellenausstattung</w:t>
      </w:r>
    </w:p>
    <w:p w:rsidR="00C0684A" w:rsidRPr="00FA2D93" w:rsidRDefault="00C0684A" w:rsidP="00C0684A"/>
    <w:p w:rsidR="005320F3" w:rsidRDefault="005320F3" w:rsidP="005320F3">
      <w:r>
        <w:t>Beantragt wird die Schaffung von 12</w:t>
      </w:r>
      <w:r w:rsidR="001E506F">
        <w:t>,0</w:t>
      </w:r>
      <w:r>
        <w:t xml:space="preserve"> </w:t>
      </w:r>
      <w:r w:rsidR="001E506F">
        <w:t>S</w:t>
      </w:r>
      <w:r>
        <w:t>tellen</w:t>
      </w:r>
      <w:r w:rsidR="001E506F">
        <w:t xml:space="preserve"> in</w:t>
      </w:r>
      <w:r>
        <w:t xml:space="preserve"> Entgeltgruppe 8 TVöD für den Aufgabenbereich Städtischer Vollzugsdienst bei der Dienststelle „Allgemeine Sicherheits- und Ordnungsangelegenheiten“.</w:t>
      </w:r>
      <w:r w:rsidR="001E506F">
        <w:t xml:space="preserve"> Mit Schaffung der Stellen soll ein Teil des Konzepts „Sauberes Stuttgart“ umgesetzt werden.</w:t>
      </w:r>
    </w:p>
    <w:p w:rsidR="00C0684A" w:rsidRPr="003972AC" w:rsidRDefault="00C0684A" w:rsidP="00A75A88">
      <w:pPr>
        <w:pStyle w:val="berschrift1"/>
        <w:numPr>
          <w:ilvl w:val="0"/>
          <w:numId w:val="0"/>
        </w:numPr>
        <w:ind w:left="284" w:hanging="284"/>
      </w:pPr>
      <w:r w:rsidRPr="003972AC">
        <w:t>2</w:t>
      </w:r>
      <w:r w:rsidRPr="003972AC">
        <w:tab/>
        <w:t>Schaffungskriterien</w:t>
      </w:r>
    </w:p>
    <w:p w:rsidR="005320F3" w:rsidRDefault="005320F3" w:rsidP="005320F3">
      <w:pPr>
        <w:jc w:val="both"/>
      </w:pPr>
    </w:p>
    <w:p w:rsidR="004E2FC0" w:rsidRDefault="004E2FC0" w:rsidP="004E2FC0">
      <w:r>
        <w:t xml:space="preserve">Die Schaffung der </w:t>
      </w:r>
      <w:r>
        <w:t>12</w:t>
      </w:r>
      <w:r>
        <w:t xml:space="preserve"> Stellen ist in der „Grünen Liste“ zum Haushalt 2018 enthalten. Die Stellen sind Teil des Pakets „</w:t>
      </w:r>
      <w:r>
        <w:t>Sauberes</w:t>
      </w:r>
      <w:r>
        <w:t xml:space="preserve"> Stuttgart“.</w:t>
      </w:r>
    </w:p>
    <w:p w:rsidR="004E2FC0" w:rsidRDefault="004E2FC0" w:rsidP="005320F3">
      <w:pPr>
        <w:jc w:val="both"/>
      </w:pPr>
    </w:p>
    <w:p w:rsidR="002C5E91" w:rsidRPr="002B6473" w:rsidRDefault="007A710C" w:rsidP="00CD188A">
      <w:pPr>
        <w:tabs>
          <w:tab w:val="left" w:pos="5670"/>
        </w:tabs>
        <w:rPr>
          <w:b/>
          <w:i/>
        </w:rPr>
      </w:pPr>
      <w:r>
        <w:t xml:space="preserve">Im Jahr 2013 wurde vom AWS ein 10-Punkte-Programm erarbeitet und vom Gemeinderat bis auf einen Punkt beschlossen. </w:t>
      </w:r>
      <w:r w:rsidR="002C5E91" w:rsidRPr="000706B5">
        <w:t>Der Ausschuss für Umwelt und Technik hat am 21.06.2016 den Antrag der CDU-Gemeinderatsfraktion Nr. 135/2016 vom 29.04.2016 zum Thema „Wie kann Müll im öffentlichen Raum reduziert werden?“ beraten. Daraus resultierte</w:t>
      </w:r>
      <w:r>
        <w:t xml:space="preserve"> </w:t>
      </w:r>
      <w:r w:rsidR="002C5E91" w:rsidRPr="000706B5">
        <w:t>ein stadtinterner Arbeitskreis „Saubere Stadt“</w:t>
      </w:r>
      <w:r>
        <w:t>.</w:t>
      </w:r>
      <w:r w:rsidR="00CD188A">
        <w:t xml:space="preserve"> </w:t>
      </w:r>
      <w:r w:rsidR="00FB56F2">
        <w:t xml:space="preserve">Es folgte die Erarbeitung </w:t>
      </w:r>
      <w:r w:rsidR="005F1C0C">
        <w:t>ein</w:t>
      </w:r>
      <w:r w:rsidR="00FB56F2">
        <w:t>es</w:t>
      </w:r>
      <w:r w:rsidR="005F1C0C">
        <w:t xml:space="preserve"> ganzheitliche</w:t>
      </w:r>
      <w:r w:rsidR="00FB56F2">
        <w:t>n</w:t>
      </w:r>
      <w:r w:rsidR="005F1C0C">
        <w:t xml:space="preserve"> Konzept</w:t>
      </w:r>
      <w:r w:rsidR="00FB56F2">
        <w:t>s</w:t>
      </w:r>
      <w:r w:rsidR="002C5E91">
        <w:t xml:space="preserve">, das für eine wirksame und dauerhafte Verbesserung der Situation </w:t>
      </w:r>
      <w:r w:rsidR="004B0F4C">
        <w:t>sorgt und</w:t>
      </w:r>
      <w:r w:rsidR="002C5E91">
        <w:t xml:space="preserve"> sämtliche Aspekte des Problems berücksichtigt. </w:t>
      </w:r>
      <w:r w:rsidR="005F1C0C">
        <w:rPr>
          <w:noProof/>
          <w:szCs w:val="22"/>
        </w:rPr>
        <w:t xml:space="preserve">Die Umsetzung </w:t>
      </w:r>
      <w:r w:rsidR="004B0F4C">
        <w:rPr>
          <w:noProof/>
          <w:szCs w:val="22"/>
        </w:rPr>
        <w:t xml:space="preserve">dieses </w:t>
      </w:r>
      <w:r w:rsidR="005F1C0C">
        <w:rPr>
          <w:noProof/>
          <w:szCs w:val="22"/>
        </w:rPr>
        <w:t>Konzepts "Sauberes Stuttgart" sieht</w:t>
      </w:r>
      <w:r w:rsidR="004B0F4C">
        <w:rPr>
          <w:noProof/>
          <w:szCs w:val="22"/>
        </w:rPr>
        <w:t xml:space="preserve"> unter anderem</w:t>
      </w:r>
      <w:r w:rsidR="005F1C0C">
        <w:rPr>
          <w:noProof/>
          <w:szCs w:val="22"/>
        </w:rPr>
        <w:t xml:space="preserve"> eine signifikante Verstärkung der Kontrolle</w:t>
      </w:r>
      <w:r w:rsidR="0047065B">
        <w:rPr>
          <w:noProof/>
          <w:szCs w:val="22"/>
        </w:rPr>
        <w:t>n</w:t>
      </w:r>
      <w:r w:rsidR="005F1C0C">
        <w:rPr>
          <w:noProof/>
          <w:szCs w:val="22"/>
        </w:rPr>
        <w:t xml:space="preserve"> und Bestrafung von Müllsündern vor.</w:t>
      </w:r>
    </w:p>
    <w:p w:rsidR="002C5E91" w:rsidRPr="002B6473" w:rsidRDefault="002C5E91" w:rsidP="002C5E91">
      <w:pPr>
        <w:ind w:left="284" w:hanging="284"/>
        <w:jc w:val="both"/>
        <w:rPr>
          <w:b/>
        </w:rPr>
      </w:pPr>
    </w:p>
    <w:p w:rsidR="002C5E91" w:rsidRDefault="00CD188A" w:rsidP="002C5E91">
      <w:pPr>
        <w:jc w:val="both"/>
      </w:pPr>
      <w:r>
        <w:t>Zur Erhöhung der Kontrollquote entsteht beim s</w:t>
      </w:r>
      <w:r w:rsidR="002C5E91" w:rsidRPr="002A278A">
        <w:t>tädtische</w:t>
      </w:r>
      <w:r>
        <w:t>n</w:t>
      </w:r>
      <w:r w:rsidR="002C5E91" w:rsidRPr="002A278A">
        <w:t xml:space="preserve"> Vollzugsdienst</w:t>
      </w:r>
      <w:r>
        <w:t xml:space="preserve"> </w:t>
      </w:r>
      <w:r w:rsidR="004E2FC0">
        <w:t>ein Personalmehrbedarf</w:t>
      </w:r>
      <w:r w:rsidR="002C5E91" w:rsidRPr="002A278A">
        <w:t xml:space="preserve"> um neben den anderen Aufgaben einen deutlich höheren Fokus auf das Thema Sauberkeit legen zu können. </w:t>
      </w:r>
    </w:p>
    <w:p w:rsidR="00C0684A" w:rsidRPr="00FA2D93" w:rsidRDefault="00C0684A" w:rsidP="00C0684A">
      <w:pPr>
        <w:pStyle w:val="berschrift1"/>
        <w:numPr>
          <w:ilvl w:val="0"/>
          <w:numId w:val="0"/>
        </w:numPr>
        <w:ind w:left="284" w:hanging="284"/>
      </w:pPr>
      <w:r w:rsidRPr="00FA2D93">
        <w:t>3</w:t>
      </w:r>
      <w:r w:rsidRPr="00FA2D93">
        <w:tab/>
        <w:t>Bedarf</w:t>
      </w:r>
    </w:p>
    <w:p w:rsidR="00852F37" w:rsidRDefault="00852F37" w:rsidP="00852F37"/>
    <w:p w:rsidR="00870847" w:rsidRDefault="00870847" w:rsidP="00852F37">
      <w:pPr>
        <w:rPr>
          <w:b/>
        </w:rPr>
      </w:pPr>
      <w:r w:rsidRPr="00870847">
        <w:rPr>
          <w:b/>
        </w:rPr>
        <w:t>3.1 Anlass</w:t>
      </w:r>
    </w:p>
    <w:p w:rsidR="00870847" w:rsidRPr="00870847" w:rsidRDefault="00870847" w:rsidP="008F7A26">
      <w:pPr>
        <w:rPr>
          <w:b/>
        </w:rPr>
      </w:pPr>
    </w:p>
    <w:p w:rsidR="005320F3" w:rsidRPr="000706B5" w:rsidRDefault="005B1B62" w:rsidP="008F7A26">
      <w:pPr>
        <w:tabs>
          <w:tab w:val="left" w:pos="5670"/>
        </w:tabs>
        <w:rPr>
          <w:b/>
        </w:rPr>
      </w:pPr>
      <w:r w:rsidRPr="00A90AF2">
        <w:rPr>
          <w:noProof/>
          <w:szCs w:val="22"/>
        </w:rPr>
        <w:t xml:space="preserve">Das Konzept "Sauberes Stuttgart" </w:t>
      </w:r>
      <w:r w:rsidR="00A90AF2" w:rsidRPr="00A90AF2">
        <w:rPr>
          <w:noProof/>
          <w:szCs w:val="22"/>
        </w:rPr>
        <w:t xml:space="preserve">soll der zunehmenden </w:t>
      </w:r>
      <w:r w:rsidR="005320F3" w:rsidRPr="00A90AF2">
        <w:t>Tendenz entgegen</w:t>
      </w:r>
      <w:r w:rsidR="00A90AF2" w:rsidRPr="00A90AF2">
        <w:t>w</w:t>
      </w:r>
      <w:r w:rsidR="005320F3" w:rsidRPr="00A90AF2">
        <w:t>irken, Kleinmüll einfach fallen zu lassen und größer</w:t>
      </w:r>
      <w:r w:rsidR="002C538D">
        <w:t>en Müll in Feld und Flur oder im</w:t>
      </w:r>
      <w:r w:rsidR="005320F3" w:rsidRPr="00A90AF2">
        <w:t xml:space="preserve"> Wald illegal abzulagern</w:t>
      </w:r>
      <w:r w:rsidR="00A90AF2" w:rsidRPr="00A90AF2">
        <w:t xml:space="preserve">. Dafür </w:t>
      </w:r>
      <w:r w:rsidR="005320F3" w:rsidRPr="00A90AF2">
        <w:t xml:space="preserve">muss eine effektive Überwachung des öffentlichen </w:t>
      </w:r>
      <w:r w:rsidR="005320F3" w:rsidRPr="000706B5">
        <w:t xml:space="preserve">Raumes </w:t>
      </w:r>
      <w:r w:rsidR="005320F3" w:rsidRPr="000706B5">
        <w:lastRenderedPageBreak/>
        <w:t xml:space="preserve">und eine konsequente Ahndung von Müllverstößen durch </w:t>
      </w:r>
      <w:r w:rsidR="00A67FBA" w:rsidRPr="000706B5">
        <w:t>den Vollzugsdienst</w:t>
      </w:r>
      <w:r w:rsidR="005320F3" w:rsidRPr="000706B5">
        <w:t xml:space="preserve"> erfolgen. Die Polizei hat für die Überwachung und Ahndung von Müllsündern keine Kapazitäten, deshalb muss der </w:t>
      </w:r>
      <w:r w:rsidR="007A710C">
        <w:t>S</w:t>
      </w:r>
      <w:r w:rsidR="005320F3" w:rsidRPr="000706B5">
        <w:t xml:space="preserve">tädtische Vollzugsdienst (SVD) für diese Aufgabe gerüstet werden. </w:t>
      </w:r>
    </w:p>
    <w:p w:rsidR="005320F3" w:rsidRPr="000706B5" w:rsidRDefault="005320F3" w:rsidP="005320F3">
      <w:pPr>
        <w:tabs>
          <w:tab w:val="left" w:pos="5670"/>
        </w:tabs>
        <w:ind w:left="426"/>
        <w:rPr>
          <w:b/>
        </w:rPr>
      </w:pPr>
    </w:p>
    <w:p w:rsidR="005320F3" w:rsidRPr="000706B5" w:rsidRDefault="005320F3" w:rsidP="008F7A26">
      <w:pPr>
        <w:tabs>
          <w:tab w:val="left" w:pos="5670"/>
        </w:tabs>
        <w:rPr>
          <w:b/>
        </w:rPr>
      </w:pPr>
      <w:r w:rsidRPr="000706B5">
        <w:t xml:space="preserve">Um in diesem Sinne effektiv und nachhaltig gegen Müllsünder vorgehen zu können, ist eine dauerhaft erhöhte Präsenz des SVD im öffentlichen Raum erforderlich. Der SVD muss personell in die Lage versetzt werden, mehr Streifen auf die Straße zu bringen. </w:t>
      </w:r>
      <w:r w:rsidR="007A710C">
        <w:t>D</w:t>
      </w:r>
      <w:r w:rsidRPr="000706B5">
        <w:t xml:space="preserve">iese Streifen </w:t>
      </w:r>
      <w:r w:rsidR="003E67EB">
        <w:t xml:space="preserve">wirken vor allem präventiv, </w:t>
      </w:r>
      <w:r w:rsidR="007A710C">
        <w:t>können</w:t>
      </w:r>
      <w:r w:rsidRPr="000706B5">
        <w:t xml:space="preserve"> </w:t>
      </w:r>
      <w:r w:rsidR="003E67EB">
        <w:t xml:space="preserve">aber auch </w:t>
      </w:r>
      <w:r w:rsidRPr="000706B5">
        <w:t>gezielt nach Müllsündern Ausschau halten, um diese auf frischer Tat zu ertappen, und dann das aufw</w:t>
      </w:r>
      <w:r w:rsidR="004E2FC0">
        <w:t>ä</w:t>
      </w:r>
      <w:r w:rsidRPr="000706B5">
        <w:t xml:space="preserve">ndige Verfahren zur Ahndung als Ordnungswidrigkeit durchzuführen. </w:t>
      </w:r>
    </w:p>
    <w:p w:rsidR="005320F3" w:rsidRPr="000706B5" w:rsidRDefault="005320F3" w:rsidP="008F7A26">
      <w:pPr>
        <w:tabs>
          <w:tab w:val="left" w:pos="5670"/>
        </w:tabs>
        <w:rPr>
          <w:b/>
        </w:rPr>
      </w:pPr>
    </w:p>
    <w:p w:rsidR="001B43C2" w:rsidRDefault="001B43C2" w:rsidP="008F7A26">
      <w:r>
        <w:t>Allein die größere Präsenz des Städtischen Vollzugsdienstes wird die Verstöße nicht g</w:t>
      </w:r>
      <w:r w:rsidR="002C538D">
        <w:t>änzlich beseitigen können,</w:t>
      </w:r>
      <w:r>
        <w:t xml:space="preserve"> </w:t>
      </w:r>
      <w:r w:rsidR="002C538D">
        <w:t xml:space="preserve">dies </w:t>
      </w:r>
      <w:r>
        <w:t>ist bei der Vielzahl an Party-Örtlichkeiten und der häufigen Verstöße im Nachtzeitraum nicht möglich. Die Kontrollen sind jedoch ein wichtiger Bestandteil</w:t>
      </w:r>
      <w:r w:rsidR="004E2FC0">
        <w:t>,</w:t>
      </w:r>
      <w:r>
        <w:t xml:space="preserve"> um ein Umdenken zu bewirken. </w:t>
      </w:r>
    </w:p>
    <w:p w:rsidR="001B43C2" w:rsidRPr="003A5E7D" w:rsidRDefault="001B43C2" w:rsidP="008F7A26"/>
    <w:p w:rsidR="005320F3" w:rsidRDefault="005320F3" w:rsidP="008F7A26">
      <w:pPr>
        <w:jc w:val="both"/>
      </w:pPr>
      <w:r w:rsidRPr="002A278A">
        <w:t>Mit entsprechenden Schwerpunkt</w:t>
      </w:r>
      <w:r w:rsidR="00F46BBC">
        <w:t>einsätzen</w:t>
      </w:r>
      <w:r w:rsidRPr="002A278A">
        <w:t xml:space="preserve"> wird diesbezüglich ein spürbar höherer Überwachungsdruck hergestellt. Es wird deutlich gemacht, dass </w:t>
      </w:r>
      <w:proofErr w:type="spellStart"/>
      <w:r w:rsidRPr="002A278A">
        <w:t>Littering</w:t>
      </w:r>
      <w:proofErr w:type="spellEnd"/>
      <w:r w:rsidRPr="002A278A">
        <w:t xml:space="preserve"> kein Kavaliersdelikt ist. Eine erhöhte Anzahl von ermittelten Tätern und verhängten Bußgeldern stärkt auf diese Weise gleichzeitig die Prävention.</w:t>
      </w:r>
    </w:p>
    <w:p w:rsidR="005320F3" w:rsidRDefault="005320F3" w:rsidP="008F7A26">
      <w:pPr>
        <w:jc w:val="both"/>
      </w:pPr>
    </w:p>
    <w:p w:rsidR="004B0F4C" w:rsidRDefault="005320F3" w:rsidP="008F7A26">
      <w:r w:rsidRPr="003A5E7D">
        <w:t>Zur Durchsetzung d</w:t>
      </w:r>
      <w:r>
        <w:t>iese</w:t>
      </w:r>
      <w:r w:rsidRPr="003A5E7D">
        <w:t xml:space="preserve">s Konzeptes </w:t>
      </w:r>
      <w:r w:rsidR="002C538D">
        <w:t>ist</w:t>
      </w:r>
      <w:r w:rsidRPr="003A5E7D">
        <w:t xml:space="preserve"> die Schaffung von </w:t>
      </w:r>
      <w:r>
        <w:t>12</w:t>
      </w:r>
      <w:r w:rsidR="002C538D">
        <w:t>,0</w:t>
      </w:r>
      <w:r w:rsidRPr="003A5E7D">
        <w:t xml:space="preserve"> Stellen beim Städtischen Vollzugsdienst </w:t>
      </w:r>
      <w:r>
        <w:t>erforderlich</w:t>
      </w:r>
      <w:r w:rsidRPr="003A5E7D">
        <w:t xml:space="preserve">. </w:t>
      </w:r>
      <w:r w:rsidR="005F1C0C">
        <w:t xml:space="preserve">Geplant </w:t>
      </w:r>
      <w:r w:rsidR="005F1C0C">
        <w:rPr>
          <w:noProof/>
          <w:szCs w:val="22"/>
        </w:rPr>
        <w:t>sind zusätzlich je 3 Dopp</w:t>
      </w:r>
      <w:r w:rsidR="00FB56F2">
        <w:rPr>
          <w:noProof/>
          <w:szCs w:val="22"/>
        </w:rPr>
        <w:t>elstreifen im 2-Schicht-Betrieb bzw. Schwerpunktmaßnahmen sowohl in der Innenstad</w:t>
      </w:r>
      <w:r w:rsidR="002C538D">
        <w:rPr>
          <w:noProof/>
          <w:szCs w:val="22"/>
        </w:rPr>
        <w:t>t als auch in den Außenbezirken</w:t>
      </w:r>
      <w:r w:rsidR="004E2FC0">
        <w:rPr>
          <w:noProof/>
          <w:szCs w:val="22"/>
        </w:rPr>
        <w:t>/-bereichen.</w:t>
      </w:r>
    </w:p>
    <w:p w:rsidR="001B43C2" w:rsidRDefault="001B43C2" w:rsidP="008F7A26">
      <w:pPr>
        <w:ind w:right="-20"/>
      </w:pPr>
    </w:p>
    <w:p w:rsidR="00870847" w:rsidRDefault="005320F3" w:rsidP="00C0684A">
      <w:pPr>
        <w:ind w:right="-20"/>
      </w:pPr>
      <w:r>
        <w:rPr>
          <w:b/>
        </w:rPr>
        <w:t xml:space="preserve">3.2 </w:t>
      </w:r>
      <w:r w:rsidR="00870847" w:rsidRPr="00870847">
        <w:rPr>
          <w:b/>
        </w:rPr>
        <w:t>Bisherige Aufgabenwahrnehmung</w:t>
      </w:r>
      <w:r w:rsidR="00870847">
        <w:t>:</w:t>
      </w:r>
    </w:p>
    <w:p w:rsidR="00A97A60" w:rsidRDefault="00A97A60" w:rsidP="00C0684A">
      <w:pPr>
        <w:ind w:right="-20"/>
      </w:pPr>
    </w:p>
    <w:p w:rsidR="005F1C0C" w:rsidRDefault="005320F3" w:rsidP="008F7A26">
      <w:r w:rsidRPr="000706B5">
        <w:t xml:space="preserve">Mit dem derzeitigen Personal </w:t>
      </w:r>
      <w:r w:rsidR="00F46BBC">
        <w:t>ist</w:t>
      </w:r>
      <w:r w:rsidRPr="000706B5">
        <w:t xml:space="preserve"> </w:t>
      </w:r>
      <w:r w:rsidR="0014121E">
        <w:t xml:space="preserve">es nicht möglich, </w:t>
      </w:r>
      <w:r w:rsidRPr="000706B5">
        <w:t xml:space="preserve">die Überwachung der </w:t>
      </w:r>
      <w:proofErr w:type="spellStart"/>
      <w:r w:rsidR="005F1C0C">
        <w:t>Vermüllung</w:t>
      </w:r>
      <w:proofErr w:type="spellEnd"/>
      <w:r w:rsidR="005F1C0C">
        <w:t xml:space="preserve"> </w:t>
      </w:r>
      <w:r w:rsidR="0014121E">
        <w:t>schwerpunktmäßig anzugehen</w:t>
      </w:r>
      <w:r w:rsidR="006940DE">
        <w:t>.</w:t>
      </w:r>
      <w:r w:rsidR="0014121E">
        <w:t xml:space="preserve"> </w:t>
      </w:r>
      <w:r w:rsidR="006940DE">
        <w:t>D</w:t>
      </w:r>
      <w:r w:rsidR="0014121E">
        <w:t>iese kann lediglich im</w:t>
      </w:r>
      <w:r w:rsidRPr="000706B5">
        <w:t xml:space="preserve"> regulären Streifendienst </w:t>
      </w:r>
      <w:r w:rsidR="0014121E">
        <w:t>wahrgenommen werden.</w:t>
      </w:r>
    </w:p>
    <w:p w:rsidR="00C0684A" w:rsidRPr="003972AC" w:rsidRDefault="005320F3" w:rsidP="00C0684A">
      <w:pPr>
        <w:pStyle w:val="berschrift2"/>
        <w:rPr>
          <w:rFonts w:ascii="Arial" w:hAnsi="Arial" w:cs="Arial"/>
          <w:color w:val="auto"/>
          <w:sz w:val="24"/>
          <w:szCs w:val="24"/>
        </w:rPr>
      </w:pPr>
      <w:r>
        <w:rPr>
          <w:rFonts w:ascii="Arial" w:hAnsi="Arial" w:cs="Arial"/>
          <w:color w:val="auto"/>
          <w:sz w:val="24"/>
          <w:szCs w:val="24"/>
        </w:rPr>
        <w:t xml:space="preserve">3.3 </w:t>
      </w:r>
      <w:r w:rsidR="00C0684A" w:rsidRPr="003972AC">
        <w:rPr>
          <w:rFonts w:ascii="Arial" w:hAnsi="Arial" w:cs="Arial"/>
          <w:color w:val="auto"/>
          <w:sz w:val="24"/>
          <w:szCs w:val="24"/>
        </w:rPr>
        <w:t>Auswirkungen bei Ablehnung der Stellenschaffungen</w:t>
      </w:r>
    </w:p>
    <w:p w:rsidR="00C0684A" w:rsidRDefault="00C0684A" w:rsidP="00C0684A"/>
    <w:p w:rsidR="004B0F4C" w:rsidRDefault="004B0F4C" w:rsidP="008F7A26">
      <w:r>
        <w:t xml:space="preserve">Die Ablehnung der beantragten Stellenschaffung hätte zur Folge, dass das </w:t>
      </w:r>
      <w:r>
        <w:rPr>
          <w:noProof/>
          <w:szCs w:val="22"/>
        </w:rPr>
        <w:t xml:space="preserve">Konzept "Sauberes Stuttgart" </w:t>
      </w:r>
      <w:r>
        <w:t xml:space="preserve">nicht in ausreichendem Maße umgesetzt werden </w:t>
      </w:r>
      <w:r w:rsidR="0014121E">
        <w:t>könnte</w:t>
      </w:r>
      <w:r>
        <w:t xml:space="preserve">. </w:t>
      </w:r>
      <w:r w:rsidR="0047065B">
        <w:t>E</w:t>
      </w:r>
      <w:r w:rsidR="0047065B">
        <w:rPr>
          <w:noProof/>
          <w:szCs w:val="22"/>
        </w:rPr>
        <w:t xml:space="preserve">ine signifikante Verstärkung der Kontrollen und Bestrafung von Müllsündern </w:t>
      </w:r>
      <w:r w:rsidR="0014121E">
        <w:rPr>
          <w:noProof/>
          <w:szCs w:val="22"/>
        </w:rPr>
        <w:t>wäre</w:t>
      </w:r>
      <w:r w:rsidR="0047065B">
        <w:rPr>
          <w:noProof/>
          <w:szCs w:val="22"/>
        </w:rPr>
        <w:t xml:space="preserve"> </w:t>
      </w:r>
      <w:r w:rsidR="0014121E">
        <w:rPr>
          <w:noProof/>
          <w:szCs w:val="22"/>
        </w:rPr>
        <w:t>n</w:t>
      </w:r>
      <w:r w:rsidR="0047065B">
        <w:rPr>
          <w:noProof/>
          <w:szCs w:val="22"/>
        </w:rPr>
        <w:t>icht möglich.</w:t>
      </w:r>
    </w:p>
    <w:p w:rsidR="00C0684A" w:rsidRDefault="00C0684A" w:rsidP="00C0684A">
      <w:pPr>
        <w:pStyle w:val="berschrift1"/>
        <w:numPr>
          <w:ilvl w:val="0"/>
          <w:numId w:val="0"/>
        </w:numPr>
        <w:ind w:left="284" w:hanging="284"/>
      </w:pPr>
      <w:r w:rsidRPr="00FA2D93">
        <w:t>4.</w:t>
      </w:r>
      <w:r w:rsidRPr="00FA2D93">
        <w:tab/>
        <w:t>Stellenvermerke</w:t>
      </w:r>
    </w:p>
    <w:p w:rsidR="0014121E" w:rsidRDefault="0014121E" w:rsidP="00870847"/>
    <w:p w:rsidR="00870847" w:rsidRPr="00870847" w:rsidRDefault="004E2FC0" w:rsidP="00870847">
      <w:r>
        <w:t>keine</w:t>
      </w:r>
      <w:bookmarkStart w:id="0" w:name="_GoBack"/>
      <w:bookmarkEnd w:id="0"/>
    </w:p>
    <w:sectPr w:rsidR="00870847" w:rsidRPr="00870847" w:rsidSect="003972AC">
      <w:headerReference w:type="default" r:id="rId8"/>
      <w:pgSz w:w="11906" w:h="16838"/>
      <w:pgMar w:top="96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2AC" w:rsidRDefault="003972AC" w:rsidP="003972AC">
      <w:r>
        <w:separator/>
      </w:r>
    </w:p>
  </w:endnote>
  <w:endnote w:type="continuationSeparator" w:id="0">
    <w:p w:rsidR="003972AC" w:rsidRDefault="003972AC" w:rsidP="00397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2AC" w:rsidRDefault="003972AC" w:rsidP="003972AC">
      <w:r>
        <w:separator/>
      </w:r>
    </w:p>
  </w:footnote>
  <w:footnote w:type="continuationSeparator" w:id="0">
    <w:p w:rsidR="003972AC" w:rsidRDefault="003972AC" w:rsidP="00397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Fonts w:eastAsiaTheme="majorEastAsia"/>
      </w:rPr>
      <w:id w:val="13667647"/>
      <w:docPartObj>
        <w:docPartGallery w:val="Page Numbers (Top of Page)"/>
        <w:docPartUnique/>
      </w:docPartObj>
    </w:sdtPr>
    <w:sdtEndPr>
      <w:rPr>
        <w:rStyle w:val="Seitenzahl"/>
      </w:rPr>
    </w:sdtEndPr>
    <w:sdtContent>
      <w:p w:rsidR="003972AC" w:rsidRDefault="003972AC" w:rsidP="003972AC">
        <w:pPr>
          <w:pStyle w:val="Kopfzeile"/>
          <w:framePr w:wrap="notBeside" w:vAnchor="text" w:hAnchor="page" w:xAlign="center" w:y="1"/>
          <w:rPr>
            <w:rStyle w:val="Seitenzahl"/>
            <w:rFonts w:eastAsiaTheme="majorEastAsia"/>
          </w:rPr>
        </w:pPr>
        <w:r>
          <w:rPr>
            <w:rStyle w:val="Seitenzahl"/>
            <w:rFonts w:eastAsiaTheme="majorEastAsia"/>
          </w:rPr>
          <w:t xml:space="preserve">- </w:t>
        </w:r>
        <w:r w:rsidR="00CC5624">
          <w:rPr>
            <w:rStyle w:val="Seitenzahl"/>
            <w:rFonts w:eastAsiaTheme="majorEastAsia"/>
          </w:rPr>
          <w:fldChar w:fldCharType="begin"/>
        </w:r>
        <w:r>
          <w:rPr>
            <w:rStyle w:val="Seitenzahl"/>
            <w:rFonts w:eastAsiaTheme="majorEastAsia"/>
          </w:rPr>
          <w:instrText xml:space="preserve"> PAGE </w:instrText>
        </w:r>
        <w:r w:rsidR="00CC5624">
          <w:rPr>
            <w:rStyle w:val="Seitenzahl"/>
            <w:rFonts w:eastAsiaTheme="majorEastAsia"/>
          </w:rPr>
          <w:fldChar w:fldCharType="separate"/>
        </w:r>
        <w:r w:rsidR="004E2FC0">
          <w:rPr>
            <w:rStyle w:val="Seitenzahl"/>
            <w:rFonts w:eastAsiaTheme="majorEastAsia"/>
            <w:noProof/>
          </w:rPr>
          <w:t>2</w:t>
        </w:r>
        <w:r w:rsidR="00CC5624">
          <w:rPr>
            <w:rStyle w:val="Seitenzahl"/>
            <w:rFonts w:eastAsiaTheme="majorEastAsia"/>
          </w:rPr>
          <w:fldChar w:fldCharType="end"/>
        </w:r>
        <w:r>
          <w:rPr>
            <w:rStyle w:val="Seitenzahl"/>
            <w:rFonts w:eastAsiaTheme="majorEastAsia"/>
          </w:rPr>
          <w:t xml:space="preserve"> -</w:t>
        </w:r>
      </w:p>
    </w:sdtContent>
  </w:sdt>
  <w:p w:rsidR="003972AC" w:rsidRDefault="003972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B076E0"/>
    <w:multiLevelType w:val="multilevel"/>
    <w:tmpl w:val="8E168828"/>
    <w:lvl w:ilvl="0">
      <w:start w:val="1"/>
      <w:numFmt w:val="decimal"/>
      <w:pStyle w:val="bersch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3D759CF"/>
    <w:multiLevelType w:val="hybridMultilevel"/>
    <w:tmpl w:val="7F66D4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896B55"/>
    <w:multiLevelType w:val="hybridMultilevel"/>
    <w:tmpl w:val="78FA85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BF81091"/>
    <w:multiLevelType w:val="hybridMultilevel"/>
    <w:tmpl w:val="DD9A1B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66E3543"/>
    <w:multiLevelType w:val="hybridMultilevel"/>
    <w:tmpl w:val="A86A65B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60F54D3"/>
    <w:multiLevelType w:val="hybridMultilevel"/>
    <w:tmpl w:val="C14AB964"/>
    <w:lvl w:ilvl="0" w:tplc="31306756">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84A"/>
    <w:rsid w:val="000144EB"/>
    <w:rsid w:val="000223C4"/>
    <w:rsid w:val="000309A7"/>
    <w:rsid w:val="000433EC"/>
    <w:rsid w:val="00055387"/>
    <w:rsid w:val="00067F40"/>
    <w:rsid w:val="000B5FD7"/>
    <w:rsid w:val="000D4FB9"/>
    <w:rsid w:val="000E6CF2"/>
    <w:rsid w:val="00105E38"/>
    <w:rsid w:val="00112C6B"/>
    <w:rsid w:val="00123A1D"/>
    <w:rsid w:val="0014121E"/>
    <w:rsid w:val="0014275F"/>
    <w:rsid w:val="001539B4"/>
    <w:rsid w:val="00156792"/>
    <w:rsid w:val="00173347"/>
    <w:rsid w:val="001B43C2"/>
    <w:rsid w:val="001C1618"/>
    <w:rsid w:val="001D5FD1"/>
    <w:rsid w:val="001E10AD"/>
    <w:rsid w:val="001E1892"/>
    <w:rsid w:val="001E1DF5"/>
    <w:rsid w:val="001E506F"/>
    <w:rsid w:val="001F1B64"/>
    <w:rsid w:val="00247079"/>
    <w:rsid w:val="0025697A"/>
    <w:rsid w:val="00256EA1"/>
    <w:rsid w:val="002571FD"/>
    <w:rsid w:val="002815B6"/>
    <w:rsid w:val="00293301"/>
    <w:rsid w:val="00294BBF"/>
    <w:rsid w:val="00297134"/>
    <w:rsid w:val="002A57FD"/>
    <w:rsid w:val="002A686E"/>
    <w:rsid w:val="002C538D"/>
    <w:rsid w:val="002C5E91"/>
    <w:rsid w:val="002D078F"/>
    <w:rsid w:val="002E23A3"/>
    <w:rsid w:val="002F19F6"/>
    <w:rsid w:val="002F4502"/>
    <w:rsid w:val="003021CC"/>
    <w:rsid w:val="00315116"/>
    <w:rsid w:val="003262D6"/>
    <w:rsid w:val="00332DD1"/>
    <w:rsid w:val="00353CD1"/>
    <w:rsid w:val="003816C0"/>
    <w:rsid w:val="003838FD"/>
    <w:rsid w:val="00393D35"/>
    <w:rsid w:val="0039441B"/>
    <w:rsid w:val="00395203"/>
    <w:rsid w:val="003972AC"/>
    <w:rsid w:val="003A03E3"/>
    <w:rsid w:val="003A2D89"/>
    <w:rsid w:val="003A47A9"/>
    <w:rsid w:val="003E67EB"/>
    <w:rsid w:val="00401606"/>
    <w:rsid w:val="00454FFA"/>
    <w:rsid w:val="00455FF0"/>
    <w:rsid w:val="00463277"/>
    <w:rsid w:val="004634B7"/>
    <w:rsid w:val="00464620"/>
    <w:rsid w:val="0047065B"/>
    <w:rsid w:val="00487077"/>
    <w:rsid w:val="0049335A"/>
    <w:rsid w:val="004B0F4C"/>
    <w:rsid w:val="004B2AF1"/>
    <w:rsid w:val="004B7878"/>
    <w:rsid w:val="004C1D96"/>
    <w:rsid w:val="004D6494"/>
    <w:rsid w:val="004E2FC0"/>
    <w:rsid w:val="004F0B3B"/>
    <w:rsid w:val="004F69D8"/>
    <w:rsid w:val="00501F63"/>
    <w:rsid w:val="0050363F"/>
    <w:rsid w:val="00504957"/>
    <w:rsid w:val="00512587"/>
    <w:rsid w:val="005320F3"/>
    <w:rsid w:val="005478F4"/>
    <w:rsid w:val="00581333"/>
    <w:rsid w:val="005A0787"/>
    <w:rsid w:val="005A7BDB"/>
    <w:rsid w:val="005B1B62"/>
    <w:rsid w:val="005B1B89"/>
    <w:rsid w:val="005C37F0"/>
    <w:rsid w:val="005C5D5D"/>
    <w:rsid w:val="005E7A83"/>
    <w:rsid w:val="005F1C0C"/>
    <w:rsid w:val="005F780A"/>
    <w:rsid w:val="00602557"/>
    <w:rsid w:val="00603999"/>
    <w:rsid w:val="00607BEC"/>
    <w:rsid w:val="00634435"/>
    <w:rsid w:val="0063757D"/>
    <w:rsid w:val="00644FCD"/>
    <w:rsid w:val="00664865"/>
    <w:rsid w:val="00667787"/>
    <w:rsid w:val="00671C66"/>
    <w:rsid w:val="006754D8"/>
    <w:rsid w:val="006867E5"/>
    <w:rsid w:val="006940DE"/>
    <w:rsid w:val="006B39F9"/>
    <w:rsid w:val="00717359"/>
    <w:rsid w:val="00744D4E"/>
    <w:rsid w:val="00744E64"/>
    <w:rsid w:val="007665B1"/>
    <w:rsid w:val="00791325"/>
    <w:rsid w:val="007A17E4"/>
    <w:rsid w:val="007A710C"/>
    <w:rsid w:val="007A762D"/>
    <w:rsid w:val="007C08DD"/>
    <w:rsid w:val="007C1A0C"/>
    <w:rsid w:val="007D7EB5"/>
    <w:rsid w:val="007F452F"/>
    <w:rsid w:val="00807578"/>
    <w:rsid w:val="008239B5"/>
    <w:rsid w:val="00825DAB"/>
    <w:rsid w:val="00826D41"/>
    <w:rsid w:val="00852F37"/>
    <w:rsid w:val="00854523"/>
    <w:rsid w:val="00870847"/>
    <w:rsid w:val="008714C2"/>
    <w:rsid w:val="008A6957"/>
    <w:rsid w:val="008B6ECF"/>
    <w:rsid w:val="008B7356"/>
    <w:rsid w:val="008F7A26"/>
    <w:rsid w:val="00936F67"/>
    <w:rsid w:val="009467B1"/>
    <w:rsid w:val="00946A70"/>
    <w:rsid w:val="009A4847"/>
    <w:rsid w:val="009D314B"/>
    <w:rsid w:val="009F1439"/>
    <w:rsid w:val="009F7EE4"/>
    <w:rsid w:val="00A15195"/>
    <w:rsid w:val="00A477DE"/>
    <w:rsid w:val="00A63BCA"/>
    <w:rsid w:val="00A67FBA"/>
    <w:rsid w:val="00A75A88"/>
    <w:rsid w:val="00A90AF2"/>
    <w:rsid w:val="00A97A60"/>
    <w:rsid w:val="00A97CBF"/>
    <w:rsid w:val="00AA5950"/>
    <w:rsid w:val="00AD214C"/>
    <w:rsid w:val="00AE7836"/>
    <w:rsid w:val="00AF1D3D"/>
    <w:rsid w:val="00B012B8"/>
    <w:rsid w:val="00B02DCD"/>
    <w:rsid w:val="00B2695C"/>
    <w:rsid w:val="00B64917"/>
    <w:rsid w:val="00B663B1"/>
    <w:rsid w:val="00B7091D"/>
    <w:rsid w:val="00B9034B"/>
    <w:rsid w:val="00B905AC"/>
    <w:rsid w:val="00BE5986"/>
    <w:rsid w:val="00C00AF1"/>
    <w:rsid w:val="00C06027"/>
    <w:rsid w:val="00C0684A"/>
    <w:rsid w:val="00C13962"/>
    <w:rsid w:val="00C21A5D"/>
    <w:rsid w:val="00C2679C"/>
    <w:rsid w:val="00C300B6"/>
    <w:rsid w:val="00C40BE7"/>
    <w:rsid w:val="00C559F4"/>
    <w:rsid w:val="00C62B2C"/>
    <w:rsid w:val="00C74400"/>
    <w:rsid w:val="00C8382B"/>
    <w:rsid w:val="00CC5624"/>
    <w:rsid w:val="00CD188A"/>
    <w:rsid w:val="00D01B80"/>
    <w:rsid w:val="00D04621"/>
    <w:rsid w:val="00D37751"/>
    <w:rsid w:val="00D5399C"/>
    <w:rsid w:val="00D631D6"/>
    <w:rsid w:val="00D90B92"/>
    <w:rsid w:val="00DA489C"/>
    <w:rsid w:val="00DD2335"/>
    <w:rsid w:val="00DE34E5"/>
    <w:rsid w:val="00E04DC7"/>
    <w:rsid w:val="00E21E3D"/>
    <w:rsid w:val="00E745CD"/>
    <w:rsid w:val="00EA0891"/>
    <w:rsid w:val="00F013B0"/>
    <w:rsid w:val="00F051B7"/>
    <w:rsid w:val="00F24DBF"/>
    <w:rsid w:val="00F35559"/>
    <w:rsid w:val="00F43DC5"/>
    <w:rsid w:val="00F4411F"/>
    <w:rsid w:val="00F46BBC"/>
    <w:rsid w:val="00F50047"/>
    <w:rsid w:val="00F53EC9"/>
    <w:rsid w:val="00F714B2"/>
    <w:rsid w:val="00F93A1C"/>
    <w:rsid w:val="00F94592"/>
    <w:rsid w:val="00FA2D93"/>
    <w:rsid w:val="00FB56F2"/>
    <w:rsid w:val="00FD74D0"/>
    <w:rsid w:val="00FE4F92"/>
    <w:rsid w:val="00FF04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88416"/>
  <w15:docId w15:val="{56648886-F3B5-40EB-B933-407050A85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684A"/>
    <w:pPr>
      <w:spacing w:after="0" w:line="240" w:lineRule="auto"/>
    </w:pPr>
    <w:rPr>
      <w:rFonts w:ascii="Arial" w:eastAsia="Times New Roman" w:hAnsi="Arial" w:cs="Arial"/>
      <w:sz w:val="24"/>
      <w:szCs w:val="20"/>
      <w:lang w:eastAsia="ar-SA"/>
    </w:rPr>
  </w:style>
  <w:style w:type="paragraph" w:styleId="berschrift1">
    <w:name w:val="heading 1"/>
    <w:basedOn w:val="Standard"/>
    <w:next w:val="Standard"/>
    <w:link w:val="berschrift1Zchn"/>
    <w:qFormat/>
    <w:rsid w:val="00C0684A"/>
    <w:pPr>
      <w:keepNext/>
      <w:numPr>
        <w:numId w:val="2"/>
      </w:numPr>
      <w:spacing w:before="480"/>
      <w:ind w:left="284" w:hanging="284"/>
      <w:outlineLvl w:val="0"/>
    </w:pPr>
    <w:rPr>
      <w:b/>
      <w:u w:val="single"/>
    </w:rPr>
  </w:style>
  <w:style w:type="paragraph" w:styleId="berschrift2">
    <w:name w:val="heading 2"/>
    <w:basedOn w:val="Standard"/>
    <w:next w:val="Standard"/>
    <w:link w:val="berschrift2Zchn"/>
    <w:uiPriority w:val="9"/>
    <w:semiHidden/>
    <w:unhideWhenUsed/>
    <w:qFormat/>
    <w:rsid w:val="00C0684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0684A"/>
    <w:rPr>
      <w:rFonts w:ascii="Arial" w:eastAsia="Times New Roman" w:hAnsi="Arial" w:cs="Arial"/>
      <w:b/>
      <w:sz w:val="24"/>
      <w:szCs w:val="20"/>
      <w:u w:val="single"/>
      <w:lang w:eastAsia="ar-SA"/>
    </w:rPr>
  </w:style>
  <w:style w:type="character" w:customStyle="1" w:styleId="berschrift2Zchn">
    <w:name w:val="Überschrift 2 Zchn"/>
    <w:basedOn w:val="Absatz-Standardschriftart"/>
    <w:link w:val="berschrift2"/>
    <w:uiPriority w:val="9"/>
    <w:semiHidden/>
    <w:rsid w:val="00C0684A"/>
    <w:rPr>
      <w:rFonts w:asciiTheme="majorHAnsi" w:eastAsiaTheme="majorEastAsia" w:hAnsiTheme="majorHAnsi" w:cstheme="majorBidi"/>
      <w:b/>
      <w:bCs/>
      <w:color w:val="4F81BD" w:themeColor="accent1"/>
      <w:sz w:val="26"/>
      <w:szCs w:val="26"/>
      <w:lang w:eastAsia="ar-SA"/>
    </w:rPr>
  </w:style>
  <w:style w:type="paragraph" w:styleId="Listenabsatz">
    <w:name w:val="List Paragraph"/>
    <w:basedOn w:val="Standard"/>
    <w:uiPriority w:val="34"/>
    <w:qFormat/>
    <w:rsid w:val="00791325"/>
    <w:pPr>
      <w:ind w:left="720"/>
      <w:contextualSpacing/>
    </w:pPr>
  </w:style>
  <w:style w:type="paragraph" w:styleId="Sprechblasentext">
    <w:name w:val="Balloon Text"/>
    <w:basedOn w:val="Standard"/>
    <w:link w:val="SprechblasentextZchn"/>
    <w:uiPriority w:val="99"/>
    <w:semiHidden/>
    <w:unhideWhenUsed/>
    <w:rsid w:val="001E18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1892"/>
    <w:rPr>
      <w:rFonts w:ascii="Tahoma" w:eastAsia="Times New Roman" w:hAnsi="Tahoma" w:cs="Tahoma"/>
      <w:sz w:val="16"/>
      <w:szCs w:val="16"/>
      <w:lang w:eastAsia="ar-SA"/>
    </w:rPr>
  </w:style>
  <w:style w:type="paragraph" w:styleId="Kopfzeile">
    <w:name w:val="header"/>
    <w:basedOn w:val="Standard"/>
    <w:link w:val="KopfzeileZchn"/>
    <w:uiPriority w:val="99"/>
    <w:unhideWhenUsed/>
    <w:rsid w:val="003972AC"/>
    <w:pPr>
      <w:tabs>
        <w:tab w:val="center" w:pos="4536"/>
        <w:tab w:val="right" w:pos="9072"/>
      </w:tabs>
    </w:pPr>
  </w:style>
  <w:style w:type="character" w:customStyle="1" w:styleId="KopfzeileZchn">
    <w:name w:val="Kopfzeile Zchn"/>
    <w:basedOn w:val="Absatz-Standardschriftart"/>
    <w:link w:val="Kopfzeile"/>
    <w:uiPriority w:val="99"/>
    <w:rsid w:val="003972AC"/>
    <w:rPr>
      <w:rFonts w:ascii="Arial" w:eastAsia="Times New Roman" w:hAnsi="Arial" w:cs="Arial"/>
      <w:sz w:val="24"/>
      <w:szCs w:val="20"/>
      <w:lang w:eastAsia="ar-SA"/>
    </w:rPr>
  </w:style>
  <w:style w:type="paragraph" w:styleId="Fuzeile">
    <w:name w:val="footer"/>
    <w:basedOn w:val="Standard"/>
    <w:link w:val="FuzeileZchn"/>
    <w:uiPriority w:val="99"/>
    <w:semiHidden/>
    <w:unhideWhenUsed/>
    <w:rsid w:val="003972AC"/>
    <w:pPr>
      <w:tabs>
        <w:tab w:val="center" w:pos="4536"/>
        <w:tab w:val="right" w:pos="9072"/>
      </w:tabs>
    </w:pPr>
  </w:style>
  <w:style w:type="character" w:customStyle="1" w:styleId="FuzeileZchn">
    <w:name w:val="Fußzeile Zchn"/>
    <w:basedOn w:val="Absatz-Standardschriftart"/>
    <w:link w:val="Fuzeile"/>
    <w:uiPriority w:val="99"/>
    <w:semiHidden/>
    <w:rsid w:val="003972AC"/>
    <w:rPr>
      <w:rFonts w:ascii="Arial" w:eastAsia="Times New Roman" w:hAnsi="Arial" w:cs="Arial"/>
      <w:sz w:val="24"/>
      <w:szCs w:val="20"/>
      <w:lang w:eastAsia="ar-SA"/>
    </w:rPr>
  </w:style>
  <w:style w:type="character" w:styleId="Seitenzahl">
    <w:name w:val="page number"/>
    <w:basedOn w:val="Absatz-Standardschriftart"/>
    <w:rsid w:val="00397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E3E42-F84B-4FEB-995B-FB615D0BC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7A540E9E.dotm</Template>
  <TotalTime>0</TotalTime>
  <Pages>2</Pages>
  <Words>573</Words>
  <Characters>3614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Landeshauptstadt Stuttgart</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U32h028</dc:creator>
  <cp:lastModifiedBy>U103007</cp:lastModifiedBy>
  <cp:revision>32</cp:revision>
  <cp:lastPrinted>2017-09-13T11:28:00Z</cp:lastPrinted>
  <dcterms:created xsi:type="dcterms:W3CDTF">2017-08-08T09:21:00Z</dcterms:created>
  <dcterms:modified xsi:type="dcterms:W3CDTF">2017-09-13T11:29:00Z</dcterms:modified>
</cp:coreProperties>
</file>