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7A444F">
        <w:rPr>
          <w:szCs w:val="24"/>
        </w:rPr>
        <w:t>8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7A444F">
        <w:rPr>
          <w:szCs w:val="24"/>
        </w:rPr>
        <w:t>888</w:t>
      </w:r>
      <w:r w:rsidR="005F5B3D">
        <w:rPr>
          <w:szCs w:val="24"/>
        </w:rPr>
        <w:t>/201</w:t>
      </w:r>
      <w:r w:rsidR="000804D4">
        <w:rPr>
          <w:szCs w:val="24"/>
        </w:rPr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0804D4">
        <w:rPr>
          <w:b/>
          <w:sz w:val="36"/>
          <w:u w:val="single"/>
        </w:rPr>
        <w:t>20</w:t>
      </w:r>
    </w:p>
    <w:p w:rsidR="00296876" w:rsidRPr="00341F1E" w:rsidRDefault="00296876" w:rsidP="005A56AA">
      <w:pPr>
        <w:tabs>
          <w:tab w:val="left" w:pos="6521"/>
        </w:tabs>
        <w:jc w:val="center"/>
        <w:rPr>
          <w:b/>
          <w:sz w:val="36"/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96876" w:rsidRPr="00296876" w:rsidTr="0029687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296876" w:rsidRPr="00296876" w:rsidRDefault="00296876" w:rsidP="0029687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296876">
              <w:rPr>
                <w:sz w:val="16"/>
                <w:szCs w:val="16"/>
              </w:rPr>
              <w:t>Org.-Einheit,</w:t>
            </w:r>
          </w:p>
          <w:p w:rsidR="00296876" w:rsidRPr="00296876" w:rsidRDefault="00296876" w:rsidP="0029687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296876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96876" w:rsidRPr="00296876" w:rsidRDefault="00296876" w:rsidP="0029687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296876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296876" w:rsidRPr="00296876" w:rsidRDefault="00296876" w:rsidP="0029687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 w:rsidRPr="00296876">
              <w:rPr>
                <w:sz w:val="16"/>
                <w:szCs w:val="16"/>
              </w:rPr>
              <w:t>BesGr</w:t>
            </w:r>
            <w:proofErr w:type="spellEnd"/>
            <w:r w:rsidRPr="00296876">
              <w:rPr>
                <w:sz w:val="16"/>
                <w:szCs w:val="16"/>
              </w:rPr>
              <w:t>.</w:t>
            </w:r>
          </w:p>
          <w:p w:rsidR="00296876" w:rsidRPr="00296876" w:rsidRDefault="00296876" w:rsidP="0029687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296876">
              <w:rPr>
                <w:sz w:val="16"/>
                <w:szCs w:val="16"/>
              </w:rPr>
              <w:t>oder</w:t>
            </w:r>
          </w:p>
          <w:p w:rsidR="00296876" w:rsidRPr="00296876" w:rsidRDefault="00296876" w:rsidP="0029687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296876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96876" w:rsidRPr="00296876" w:rsidRDefault="00296876" w:rsidP="0029687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296876">
              <w:rPr>
                <w:sz w:val="16"/>
                <w:szCs w:val="16"/>
              </w:rPr>
              <w:t>Funktions-</w:t>
            </w:r>
            <w:r w:rsidRPr="00296876">
              <w:rPr>
                <w:sz w:val="16"/>
                <w:szCs w:val="16"/>
              </w:rPr>
              <w:br/>
            </w:r>
            <w:proofErr w:type="spellStart"/>
            <w:r w:rsidRPr="00296876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296876" w:rsidRPr="00296876" w:rsidRDefault="00296876" w:rsidP="0029687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296876">
              <w:rPr>
                <w:sz w:val="16"/>
                <w:szCs w:val="16"/>
              </w:rPr>
              <w:t>Anzahl</w:t>
            </w:r>
            <w:r w:rsidRPr="00296876">
              <w:rPr>
                <w:sz w:val="16"/>
                <w:szCs w:val="16"/>
              </w:rPr>
              <w:br/>
              <w:t>der</w:t>
            </w:r>
            <w:r w:rsidRPr="00296876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296876" w:rsidRPr="00296876" w:rsidRDefault="00296876" w:rsidP="0029687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296876">
              <w:rPr>
                <w:sz w:val="16"/>
                <w:szCs w:val="16"/>
              </w:rPr>
              <w:t>Stellen-</w:t>
            </w:r>
            <w:r w:rsidRPr="00296876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296876" w:rsidRPr="00296876" w:rsidRDefault="00296876" w:rsidP="0029687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 w:rsidRPr="00296876">
              <w:rPr>
                <w:sz w:val="16"/>
                <w:szCs w:val="16"/>
              </w:rPr>
              <w:t>durchschnittl</w:t>
            </w:r>
            <w:proofErr w:type="spellEnd"/>
            <w:r w:rsidRPr="00296876">
              <w:rPr>
                <w:sz w:val="16"/>
                <w:szCs w:val="16"/>
              </w:rPr>
              <w:t>.</w:t>
            </w:r>
            <w:r w:rsidRPr="00296876">
              <w:rPr>
                <w:sz w:val="16"/>
                <w:szCs w:val="16"/>
              </w:rPr>
              <w:br/>
            </w:r>
            <w:proofErr w:type="spellStart"/>
            <w:r w:rsidRPr="00296876">
              <w:rPr>
                <w:sz w:val="16"/>
                <w:szCs w:val="16"/>
              </w:rPr>
              <w:t>jährl</w:t>
            </w:r>
            <w:proofErr w:type="spellEnd"/>
            <w:r w:rsidRPr="00296876">
              <w:rPr>
                <w:sz w:val="16"/>
                <w:szCs w:val="16"/>
              </w:rPr>
              <w:t>. kosten-</w:t>
            </w:r>
            <w:r w:rsidRPr="00296876">
              <w:rPr>
                <w:sz w:val="16"/>
                <w:szCs w:val="16"/>
              </w:rPr>
              <w:br/>
              <w:t xml:space="preserve">wirksamer </w:t>
            </w:r>
            <w:r w:rsidRPr="00296876">
              <w:rPr>
                <w:sz w:val="16"/>
                <w:szCs w:val="16"/>
              </w:rPr>
              <w:br/>
              <w:t xml:space="preserve">Aufwand </w:t>
            </w:r>
            <w:r w:rsidRPr="00296876">
              <w:rPr>
                <w:sz w:val="16"/>
                <w:szCs w:val="16"/>
              </w:rPr>
              <w:br/>
              <w:t>in Euro</w:t>
            </w:r>
          </w:p>
        </w:tc>
      </w:tr>
      <w:tr w:rsidR="00296876" w:rsidRPr="00296876" w:rsidTr="00546E8D">
        <w:tc>
          <w:tcPr>
            <w:tcW w:w="1814" w:type="dxa"/>
          </w:tcPr>
          <w:p w:rsidR="00296876" w:rsidRDefault="00296876" w:rsidP="00296876">
            <w:pPr>
              <w:rPr>
                <w:sz w:val="20"/>
              </w:rPr>
            </w:pPr>
          </w:p>
          <w:p w:rsidR="00296876" w:rsidRDefault="00296876" w:rsidP="00296876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  <w:r w:rsidR="00A02488">
              <w:rPr>
                <w:sz w:val="20"/>
              </w:rPr>
              <w:t xml:space="preserve"> </w:t>
            </w:r>
            <w:r>
              <w:rPr>
                <w:sz w:val="20"/>
              </w:rPr>
              <w:t>0402</w:t>
            </w:r>
          </w:p>
          <w:p w:rsidR="00296876" w:rsidRDefault="00296876" w:rsidP="00296876">
            <w:pPr>
              <w:rPr>
                <w:sz w:val="20"/>
              </w:rPr>
            </w:pPr>
          </w:p>
          <w:p w:rsidR="00296876" w:rsidRDefault="00296876" w:rsidP="00296876">
            <w:pPr>
              <w:rPr>
                <w:sz w:val="20"/>
              </w:rPr>
            </w:pPr>
            <w:r>
              <w:rPr>
                <w:sz w:val="20"/>
              </w:rPr>
              <w:t>50405020</w:t>
            </w:r>
          </w:p>
          <w:p w:rsidR="00296876" w:rsidRPr="006E0575" w:rsidRDefault="00296876" w:rsidP="0029687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96876" w:rsidRDefault="00296876" w:rsidP="00296876">
            <w:pPr>
              <w:rPr>
                <w:sz w:val="20"/>
              </w:rPr>
            </w:pPr>
          </w:p>
          <w:p w:rsidR="00296876" w:rsidRPr="006E0575" w:rsidRDefault="00296876" w:rsidP="00296876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</w:p>
        </w:tc>
        <w:tc>
          <w:tcPr>
            <w:tcW w:w="794" w:type="dxa"/>
          </w:tcPr>
          <w:p w:rsidR="00296876" w:rsidRDefault="00296876" w:rsidP="00296876">
            <w:pPr>
              <w:jc w:val="center"/>
              <w:rPr>
                <w:sz w:val="20"/>
              </w:rPr>
            </w:pPr>
          </w:p>
          <w:p w:rsidR="00296876" w:rsidRPr="006E0575" w:rsidRDefault="00296876" w:rsidP="008C3E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 12 </w:t>
            </w:r>
          </w:p>
        </w:tc>
        <w:tc>
          <w:tcPr>
            <w:tcW w:w="1928" w:type="dxa"/>
          </w:tcPr>
          <w:p w:rsidR="00296876" w:rsidRDefault="00296876" w:rsidP="00296876">
            <w:pPr>
              <w:rPr>
                <w:sz w:val="20"/>
              </w:rPr>
            </w:pPr>
          </w:p>
          <w:p w:rsidR="00296876" w:rsidRPr="006E0575" w:rsidRDefault="00296876" w:rsidP="00223C33">
            <w:pPr>
              <w:rPr>
                <w:sz w:val="20"/>
              </w:rPr>
            </w:pPr>
            <w:r>
              <w:rPr>
                <w:sz w:val="20"/>
              </w:rPr>
              <w:t>Sozialarbeiter/</w:t>
            </w:r>
            <w:r w:rsidR="00A02488">
              <w:rPr>
                <w:sz w:val="20"/>
              </w:rPr>
              <w:t>-in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37" w:type="dxa"/>
            <w:shd w:val="clear" w:color="auto" w:fill="auto"/>
          </w:tcPr>
          <w:p w:rsidR="00296876" w:rsidRDefault="00296876" w:rsidP="00296876">
            <w:pPr>
              <w:jc w:val="center"/>
              <w:rPr>
                <w:sz w:val="20"/>
              </w:rPr>
            </w:pPr>
          </w:p>
          <w:p w:rsidR="00D77792" w:rsidRPr="004D2B01" w:rsidRDefault="00546E8D" w:rsidP="00296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  <w:r w:rsidR="0045061F" w:rsidRPr="004D2B01">
              <w:rPr>
                <w:sz w:val="20"/>
              </w:rPr>
              <w:t>0</w:t>
            </w:r>
          </w:p>
          <w:p w:rsidR="00296876" w:rsidRPr="00D77792" w:rsidRDefault="00296876" w:rsidP="00296876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6876" w:rsidRDefault="00296876" w:rsidP="00296876">
            <w:pPr>
              <w:rPr>
                <w:sz w:val="20"/>
              </w:rPr>
            </w:pPr>
          </w:p>
          <w:p w:rsidR="00296876" w:rsidRPr="006E0575" w:rsidRDefault="007A444F" w:rsidP="00296876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296876" w:rsidRDefault="00296876" w:rsidP="00296876">
            <w:pPr>
              <w:rPr>
                <w:sz w:val="20"/>
              </w:rPr>
            </w:pPr>
          </w:p>
          <w:p w:rsidR="00296876" w:rsidRPr="007A444F" w:rsidRDefault="007A444F" w:rsidP="007A444F">
            <w:pPr>
              <w:jc w:val="right"/>
              <w:rPr>
                <w:sz w:val="20"/>
              </w:rPr>
            </w:pPr>
            <w:r w:rsidRPr="007A444F">
              <w:rPr>
                <w:sz w:val="20"/>
              </w:rPr>
              <w:t>212.480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8F2911" w:rsidRDefault="008F2911" w:rsidP="008F2911">
      <w:r>
        <w:t>Be</w:t>
      </w:r>
      <w:r w:rsidR="006808DB">
        <w:t xml:space="preserve">antragt wird die </w:t>
      </w:r>
      <w:r w:rsidR="006808DB" w:rsidRPr="004D2B01">
        <w:t xml:space="preserve">Schaffung von </w:t>
      </w:r>
      <w:r w:rsidR="00546E8D">
        <w:t>3</w:t>
      </w:r>
      <w:r w:rsidR="0045061F" w:rsidRPr="004D2B01">
        <w:t>,</w:t>
      </w:r>
      <w:r w:rsidR="00546E8D">
        <w:t>2</w:t>
      </w:r>
      <w:r w:rsidR="0045061F" w:rsidRPr="004D2B01">
        <w:t>0</w:t>
      </w:r>
      <w:r w:rsidR="00255C70" w:rsidRPr="004D2B01">
        <w:t xml:space="preserve"> Stellen</w:t>
      </w:r>
      <w:r w:rsidRPr="004D2B01">
        <w:t xml:space="preserve"> </w:t>
      </w:r>
      <w:r w:rsidR="00517006" w:rsidRPr="004D2B01">
        <w:t xml:space="preserve">in </w:t>
      </w:r>
      <w:r w:rsidR="00517006">
        <w:t xml:space="preserve">S 12 </w:t>
      </w:r>
      <w:r w:rsidR="000640B7" w:rsidRPr="000640B7">
        <w:t xml:space="preserve">für die Stadtteilbüros </w:t>
      </w:r>
      <w:r w:rsidR="000640B7">
        <w:t>des</w:t>
      </w:r>
      <w:r>
        <w:t xml:space="preserve"> Bürgerservice Leben im Alter</w:t>
      </w:r>
      <w:r w:rsidR="000E2ACE">
        <w:t xml:space="preserve"> </w:t>
      </w:r>
      <w:r w:rsidR="000E2ACE" w:rsidRPr="00DA0A6C">
        <w:t>der Abteilung Sozialarbeit und Betreuungsbehörde</w:t>
      </w:r>
      <w:r w:rsidR="00845867">
        <w:t xml:space="preserve"> </w:t>
      </w:r>
      <w:r w:rsidR="00845867" w:rsidRPr="002B4632">
        <w:t xml:space="preserve">(vgl. </w:t>
      </w:r>
      <w:r w:rsidR="00845867">
        <w:t>GRDrs.180/2019 „Organisationsentwicklung beim Bürgerservice Leben im Alter“</w:t>
      </w:r>
      <w:r w:rsidR="00845867" w:rsidRPr="002B4632">
        <w:t>)</w:t>
      </w:r>
      <w: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A0DEE" w:rsidRPr="003A0DEE" w:rsidRDefault="003A0DEE" w:rsidP="003A0DEE"/>
    <w:p w:rsidR="003A0DEE" w:rsidRPr="004D2B01" w:rsidRDefault="003A0DEE" w:rsidP="003A0DEE">
      <w:r w:rsidRPr="008E32E2">
        <w:t xml:space="preserve">Die erhebliche Arbeitsvermehrung kann nicht mehr durch andere Maßnahmen aufgefangen werden. Die Schaffung </w:t>
      </w:r>
      <w:r w:rsidR="007A444F">
        <w:t>der</w:t>
      </w:r>
      <w:r w:rsidRPr="008E32E2">
        <w:t xml:space="preserve"> Stellen ist für eine sachgerechte Personalausstattung des Bürgerservice Leben im Alter</w:t>
      </w:r>
      <w:r>
        <w:t xml:space="preserve"> </w:t>
      </w:r>
      <w:r w:rsidRPr="004D2B01">
        <w:t xml:space="preserve">unabweisbar.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4C73A7" w:rsidRDefault="004C73A7" w:rsidP="00884D6C"/>
    <w:p w:rsidR="00A034D3" w:rsidRDefault="008F2911" w:rsidP="00A034D3">
      <w:pPr>
        <w:rPr>
          <w:rFonts w:cs="Arial"/>
          <w:szCs w:val="24"/>
        </w:rPr>
      </w:pPr>
      <w:r>
        <w:rPr>
          <w:rFonts w:cs="Arial"/>
          <w:color w:val="000000"/>
          <w:szCs w:val="24"/>
        </w:rPr>
        <w:t xml:space="preserve">Der Bürgerservice Leben im Alter </w:t>
      </w:r>
      <w:r w:rsidR="00BA2EF2">
        <w:rPr>
          <w:rFonts w:cs="Arial"/>
          <w:color w:val="000000"/>
          <w:szCs w:val="24"/>
        </w:rPr>
        <w:t>besteht</w:t>
      </w:r>
      <w:r>
        <w:rPr>
          <w:rFonts w:cs="Arial"/>
          <w:color w:val="000000"/>
          <w:szCs w:val="24"/>
        </w:rPr>
        <w:t xml:space="preserve"> </w:t>
      </w:r>
      <w:r w:rsidR="00BA2EF2" w:rsidRPr="00BA2EF2">
        <w:rPr>
          <w:rFonts w:cs="Arial"/>
          <w:color w:val="000000"/>
          <w:szCs w:val="24"/>
        </w:rPr>
        <w:t xml:space="preserve">seit 20 Jahren in dieser Form und bietet im Rahmen der Daseinsfürsorge gemäß § 71 SGB XI Beratung und Begleitung rund um das Thema </w:t>
      </w:r>
      <w:r w:rsidR="000A0414">
        <w:rPr>
          <w:rFonts w:cs="Arial"/>
          <w:color w:val="000000"/>
          <w:szCs w:val="24"/>
        </w:rPr>
        <w:t>„</w:t>
      </w:r>
      <w:r w:rsidR="00BA2EF2" w:rsidRPr="00BA2EF2">
        <w:rPr>
          <w:rFonts w:cs="Arial"/>
          <w:color w:val="000000"/>
          <w:szCs w:val="24"/>
        </w:rPr>
        <w:t>Alter</w:t>
      </w:r>
      <w:r w:rsidR="000A0414">
        <w:rPr>
          <w:rFonts w:cs="Arial"/>
          <w:color w:val="000000"/>
          <w:szCs w:val="24"/>
        </w:rPr>
        <w:t>“</w:t>
      </w:r>
      <w:r w:rsidR="00BA2EF2" w:rsidRPr="00BA2EF2">
        <w:rPr>
          <w:rFonts w:cs="Arial"/>
          <w:color w:val="000000"/>
          <w:szCs w:val="24"/>
        </w:rPr>
        <w:t xml:space="preserve"> an. </w:t>
      </w:r>
      <w:r w:rsidR="00A034D3">
        <w:rPr>
          <w:rFonts w:cs="Arial"/>
          <w:color w:val="000000"/>
          <w:szCs w:val="24"/>
        </w:rPr>
        <w:t>Die Stadtteilbüros des Bürgerservice Leben im Alter sind die zentrale</w:t>
      </w:r>
      <w:r w:rsidR="000A0414">
        <w:rPr>
          <w:rFonts w:cs="Arial"/>
          <w:color w:val="000000"/>
          <w:szCs w:val="24"/>
        </w:rPr>
        <w:t>n</w:t>
      </w:r>
      <w:r w:rsidR="00A034D3">
        <w:rPr>
          <w:rFonts w:cs="Arial"/>
          <w:color w:val="000000"/>
          <w:szCs w:val="24"/>
        </w:rPr>
        <w:t xml:space="preserve"> Anlaufstelle</w:t>
      </w:r>
      <w:r w:rsidR="000A0414">
        <w:rPr>
          <w:rFonts w:cs="Arial"/>
          <w:color w:val="000000"/>
          <w:szCs w:val="24"/>
        </w:rPr>
        <w:t>n</w:t>
      </w:r>
      <w:r w:rsidR="00A034D3">
        <w:rPr>
          <w:rFonts w:cs="Arial"/>
          <w:color w:val="000000"/>
          <w:szCs w:val="24"/>
        </w:rPr>
        <w:t xml:space="preserve"> für </w:t>
      </w:r>
      <w:r w:rsidR="00A034D3" w:rsidRPr="008C1069">
        <w:rPr>
          <w:rFonts w:cs="Arial"/>
          <w:szCs w:val="24"/>
        </w:rPr>
        <w:t>alle Menschen über 63 Jahre und ihre Angehörigen, die Fragen zum Leben im Alter haben. Neben der Beratung übernehmen die Mitarbeiter/-innen auch die Begleitung alter</w:t>
      </w:r>
      <w:r w:rsidR="00A034D3">
        <w:rPr>
          <w:rFonts w:cs="Arial"/>
          <w:szCs w:val="24"/>
        </w:rPr>
        <w:t xml:space="preserve"> Menschen und deren Angehörige</w:t>
      </w:r>
      <w:r w:rsidR="0098078D">
        <w:rPr>
          <w:rFonts w:cs="Arial"/>
          <w:szCs w:val="24"/>
        </w:rPr>
        <w:t>n</w:t>
      </w:r>
      <w:r w:rsidR="00A034D3">
        <w:rPr>
          <w:rFonts w:cs="Arial"/>
          <w:szCs w:val="24"/>
        </w:rPr>
        <w:t>.</w:t>
      </w:r>
    </w:p>
    <w:p w:rsidR="00A034D3" w:rsidRDefault="00A034D3" w:rsidP="008F2911">
      <w:pPr>
        <w:rPr>
          <w:rFonts w:cs="Arial"/>
          <w:color w:val="000000"/>
          <w:szCs w:val="24"/>
        </w:rPr>
      </w:pPr>
    </w:p>
    <w:p w:rsidR="0003485E" w:rsidRDefault="008A6999" w:rsidP="00517006">
      <w:pPr>
        <w:rPr>
          <w:rFonts w:cs="Arial"/>
          <w:szCs w:val="24"/>
        </w:rPr>
      </w:pPr>
      <w:r>
        <w:rPr>
          <w:rFonts w:cs="Arial"/>
          <w:color w:val="000000"/>
          <w:szCs w:val="24"/>
        </w:rPr>
        <w:t>In diesen</w:t>
      </w:r>
      <w:r w:rsidR="00467FD9">
        <w:rPr>
          <w:rFonts w:cs="Arial"/>
          <w:color w:val="000000"/>
          <w:szCs w:val="24"/>
        </w:rPr>
        <w:t xml:space="preserve"> 20 Jahren </w:t>
      </w:r>
      <w:r w:rsidR="000A0414">
        <w:rPr>
          <w:rFonts w:cs="Arial"/>
          <w:color w:val="000000"/>
          <w:szCs w:val="24"/>
        </w:rPr>
        <w:t>wurde</w:t>
      </w:r>
      <w:r w:rsidR="00467FD9">
        <w:rPr>
          <w:rFonts w:cs="Arial"/>
          <w:color w:val="000000"/>
          <w:szCs w:val="24"/>
        </w:rPr>
        <w:t xml:space="preserve"> </w:t>
      </w:r>
      <w:r w:rsidR="0022116A">
        <w:rPr>
          <w:rFonts w:cs="Arial"/>
          <w:color w:val="000000"/>
          <w:szCs w:val="24"/>
        </w:rPr>
        <w:t xml:space="preserve">für </w:t>
      </w:r>
      <w:r w:rsidR="00ED399E">
        <w:rPr>
          <w:rFonts w:cs="Arial"/>
          <w:color w:val="000000"/>
          <w:szCs w:val="24"/>
        </w:rPr>
        <w:t xml:space="preserve">den </w:t>
      </w:r>
      <w:r w:rsidR="0022116A">
        <w:rPr>
          <w:rFonts w:cs="Arial"/>
          <w:color w:val="000000"/>
          <w:szCs w:val="24"/>
        </w:rPr>
        <w:t>Bürgerservice Leben im Alter, d</w:t>
      </w:r>
      <w:r w:rsidR="007A444F">
        <w:rPr>
          <w:rFonts w:cs="Arial"/>
          <w:color w:val="000000"/>
          <w:szCs w:val="24"/>
        </w:rPr>
        <w:t>er</w:t>
      </w:r>
      <w:r w:rsidR="00467FD9">
        <w:rPr>
          <w:rFonts w:cs="Arial"/>
          <w:color w:val="000000"/>
          <w:szCs w:val="24"/>
        </w:rPr>
        <w:t xml:space="preserve"> wohnortnahe aufsuchende Beratung und Begleitung</w:t>
      </w:r>
      <w:r w:rsidR="0022116A">
        <w:rPr>
          <w:rFonts w:cs="Arial"/>
          <w:color w:val="000000"/>
          <w:szCs w:val="24"/>
        </w:rPr>
        <w:t xml:space="preserve"> für S</w:t>
      </w:r>
      <w:r w:rsidR="00DC4C4E">
        <w:rPr>
          <w:rFonts w:cs="Arial"/>
          <w:color w:val="000000"/>
          <w:szCs w:val="24"/>
        </w:rPr>
        <w:t>tuttgarter ab dem 63. Lebensjahr</w:t>
      </w:r>
      <w:r w:rsidR="000E2ACE">
        <w:rPr>
          <w:rFonts w:cs="Arial"/>
          <w:color w:val="000000"/>
          <w:szCs w:val="24"/>
        </w:rPr>
        <w:t xml:space="preserve"> </w:t>
      </w:r>
      <w:r w:rsidR="000A0414">
        <w:rPr>
          <w:rFonts w:cs="Arial"/>
          <w:szCs w:val="24"/>
        </w:rPr>
        <w:t>anbiete</w:t>
      </w:r>
      <w:r w:rsidR="007A444F">
        <w:rPr>
          <w:rFonts w:cs="Arial"/>
          <w:szCs w:val="24"/>
        </w:rPr>
        <w:t>t</w:t>
      </w:r>
      <w:r w:rsidR="005E6407" w:rsidRPr="008C3E18">
        <w:rPr>
          <w:rFonts w:cs="Arial"/>
          <w:szCs w:val="24"/>
        </w:rPr>
        <w:t>,</w:t>
      </w:r>
      <w:r w:rsidR="00467FD9" w:rsidRPr="008C3E18">
        <w:rPr>
          <w:rFonts w:cs="Arial"/>
          <w:szCs w:val="24"/>
        </w:rPr>
        <w:t xml:space="preserve"> </w:t>
      </w:r>
      <w:r w:rsidR="00467FD9">
        <w:rPr>
          <w:rFonts w:cs="Arial"/>
          <w:color w:val="000000"/>
          <w:szCs w:val="24"/>
        </w:rPr>
        <w:t xml:space="preserve">nur eine </w:t>
      </w:r>
      <w:r w:rsidR="000A0414">
        <w:rPr>
          <w:rFonts w:cs="Arial"/>
          <w:color w:val="000000"/>
          <w:szCs w:val="24"/>
        </w:rPr>
        <w:t>1,00 Stelle zum Stellenplan 2014 geschaffen.</w:t>
      </w:r>
      <w:r w:rsidR="004D2B01">
        <w:rPr>
          <w:rFonts w:cs="Arial"/>
          <w:szCs w:val="24"/>
        </w:rPr>
        <w:t xml:space="preserve"> </w:t>
      </w:r>
    </w:p>
    <w:p w:rsidR="000A0414" w:rsidRPr="00517006" w:rsidRDefault="000A0414" w:rsidP="00517006">
      <w:pPr>
        <w:rPr>
          <w:rFonts w:cs="Arial"/>
          <w:color w:val="000000"/>
          <w:szCs w:val="24"/>
        </w:rPr>
      </w:pPr>
    </w:p>
    <w:p w:rsidR="0022116A" w:rsidRDefault="0022116A" w:rsidP="008F2911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Dem gegenüber </w:t>
      </w:r>
      <w:r w:rsidR="00A034D3">
        <w:rPr>
          <w:rFonts w:cs="Arial"/>
          <w:color w:val="000000"/>
          <w:szCs w:val="24"/>
        </w:rPr>
        <w:t xml:space="preserve">stehen zahlreiche Veränderungen, </w:t>
      </w:r>
      <w:r>
        <w:rPr>
          <w:rFonts w:cs="Arial"/>
          <w:color w:val="000000"/>
          <w:szCs w:val="24"/>
        </w:rPr>
        <w:t xml:space="preserve">die zu Mehrarbeit </w:t>
      </w:r>
      <w:r w:rsidR="00A034D3">
        <w:rPr>
          <w:rFonts w:cs="Arial"/>
          <w:color w:val="000000"/>
          <w:szCs w:val="24"/>
        </w:rPr>
        <w:t xml:space="preserve">geführt haben. </w:t>
      </w:r>
    </w:p>
    <w:p w:rsidR="00467FD9" w:rsidRDefault="00467FD9" w:rsidP="008F2911"/>
    <w:p w:rsidR="00B405C4" w:rsidRDefault="00B405C4" w:rsidP="008F2911">
      <w:r>
        <w:t>Aufgrund des demografischen Wandels (Zunahme der Seniorinnen u</w:t>
      </w:r>
      <w:r w:rsidR="00C96463">
        <w:t>nd Senioren) in der Landeshauptstadt Stuttgart</w:t>
      </w:r>
      <w:r>
        <w:t xml:space="preserve"> nehmen die Fallzahlen in der kommunalen Altenhilfe zu</w:t>
      </w:r>
      <w:r w:rsidR="00583E94">
        <w:t xml:space="preserve">. </w:t>
      </w:r>
      <w:r>
        <w:lastRenderedPageBreak/>
        <w:t>Ein weiterer kontinuierlicher und sich beschleunigender Anstieg</w:t>
      </w:r>
      <w:r w:rsidR="00976312">
        <w:t>,</w:t>
      </w:r>
      <w:r w:rsidR="00C96463">
        <w:t xml:space="preserve"> insbesondere </w:t>
      </w:r>
      <w:r w:rsidR="00300C64" w:rsidRPr="00DA0A6C">
        <w:t xml:space="preserve">bei </w:t>
      </w:r>
      <w:r w:rsidR="00976312">
        <w:t xml:space="preserve">Seniorinnen und Senioren in </w:t>
      </w:r>
      <w:r w:rsidR="00583E94">
        <w:t xml:space="preserve">Singlehaushalten, von </w:t>
      </w:r>
      <w:r w:rsidR="00976312">
        <w:t>Altersarmut</w:t>
      </w:r>
      <w:r w:rsidR="00583E94">
        <w:t xml:space="preserve"> </w:t>
      </w:r>
      <w:r w:rsidR="009B5B59">
        <w:t>Betroffenen</w:t>
      </w:r>
      <w:r w:rsidR="007A444F">
        <w:t>,</w:t>
      </w:r>
      <w:r w:rsidR="009B5B59">
        <w:t xml:space="preserve"> sowie </w:t>
      </w:r>
      <w:r w:rsidR="00976312">
        <w:t>älteren Menschen mit Migrationshintergrund</w:t>
      </w:r>
      <w:r w:rsidR="00FA177A">
        <w:t>,</w:t>
      </w:r>
      <w:r w:rsidR="00583E94">
        <w:t xml:space="preserve"> </w:t>
      </w:r>
      <w:r>
        <w:t>ist</w:t>
      </w:r>
      <w:r w:rsidR="0098078D">
        <w:t xml:space="preserve"> eindeutig und</w:t>
      </w:r>
      <w:r>
        <w:t xml:space="preserve"> zu erwarten.</w:t>
      </w:r>
      <w:r w:rsidR="00BA2EF2">
        <w:t xml:space="preserve"> </w:t>
      </w:r>
      <w:r w:rsidR="008A6999">
        <w:t>Bereits jetzt leben 36</w:t>
      </w:r>
      <w:r w:rsidR="00DC4C4E">
        <w:t xml:space="preserve"> </w:t>
      </w:r>
      <w:r w:rsidR="003F4039">
        <w:t>% aller Menschen ab 65 Jahren im Singlehaushalt</w:t>
      </w:r>
      <w:r w:rsidR="00C96463">
        <w:t xml:space="preserve"> (vgl. Statistisches Jahrbuch 2016/2017</w:t>
      </w:r>
      <w:r w:rsidR="00300C64">
        <w:t>,</w:t>
      </w:r>
      <w:r w:rsidR="00C96463">
        <w:t xml:space="preserve"> Landeshauptstadt Stuttgart</w:t>
      </w:r>
      <w:r w:rsidR="00300C64">
        <w:t>).</w:t>
      </w:r>
    </w:p>
    <w:p w:rsidR="00381806" w:rsidRDefault="00381806" w:rsidP="008F2911"/>
    <w:p w:rsidR="00381806" w:rsidRPr="007A444F" w:rsidRDefault="00381806" w:rsidP="008F2911">
      <w:pPr>
        <w:rPr>
          <w:rFonts w:cs="Arial"/>
          <w:szCs w:val="24"/>
        </w:rPr>
      </w:pPr>
      <w:r w:rsidRPr="007A444F">
        <w:t>Im Zeitraum 2016 – 2018 kam es in den Stadtteilbüros zu einer Fallzahlensteigerung von 3.773 auf 4.570, also von 21,1%. Bei 24,65 Stellen ergibt dies einen Mehrbedarf von 5,2</w:t>
      </w:r>
      <w:r w:rsidR="00A97A9E" w:rsidRPr="007A444F">
        <w:t>0</w:t>
      </w:r>
      <w:r w:rsidRPr="007A444F">
        <w:t xml:space="preserve"> Stellen in den Stadtteilbüros. Diese werden in ihrer Aufgabenerfüllung jedoch bereits durch die Schaffung einer 1,00-Stelle zur Einrichtung von Teamleitungen und einer </w:t>
      </w:r>
      <w:r w:rsidR="00492910" w:rsidRPr="007A444F">
        <w:t xml:space="preserve">weiteren </w:t>
      </w:r>
      <w:r w:rsidRPr="007A444F">
        <w:t>1,00-Stelle für bürgerschaftliches Engagement gestärkt, so dass noch ein Bedarf in Höhe von 3,2</w:t>
      </w:r>
      <w:r w:rsidR="00A97A9E" w:rsidRPr="007A444F">
        <w:t>0</w:t>
      </w:r>
      <w:r w:rsidRPr="007A444F">
        <w:t xml:space="preserve"> Stellen verbleibt.</w:t>
      </w:r>
    </w:p>
    <w:p w:rsidR="00B405C4" w:rsidRDefault="00B405C4" w:rsidP="00B405C4"/>
    <w:p w:rsidR="00301988" w:rsidRDefault="00583E94" w:rsidP="00583E94">
      <w:r w:rsidRPr="008D6445">
        <w:t xml:space="preserve">Neben der Zunahme an Fällen </w:t>
      </w:r>
      <w:r w:rsidR="009B5B59">
        <w:t>besteht</w:t>
      </w:r>
      <w:r w:rsidRPr="008D6445">
        <w:t xml:space="preserve"> </w:t>
      </w:r>
      <w:r w:rsidR="009B5B59">
        <w:t>zugleich</w:t>
      </w:r>
      <w:r w:rsidRPr="008D6445">
        <w:t xml:space="preserve"> eine </w:t>
      </w:r>
      <w:r>
        <w:t xml:space="preserve">Zunahme der </w:t>
      </w:r>
      <w:r w:rsidRPr="008D6445">
        <w:t>Komplexität der Fälle</w:t>
      </w:r>
      <w:r>
        <w:t>.</w:t>
      </w:r>
      <w:r w:rsidRPr="008D6445">
        <w:t xml:space="preserve"> </w:t>
      </w:r>
      <w:r w:rsidR="00546E8D">
        <w:t xml:space="preserve">Themen wie Wohnen oder Schuldenregulierung nehmen immer mehr Raum ein. </w:t>
      </w:r>
      <w:r w:rsidR="004B52AF" w:rsidRPr="004B52AF">
        <w:t>20</w:t>
      </w:r>
      <w:r w:rsidR="004B52AF">
        <w:t>12</w:t>
      </w:r>
      <w:r w:rsidR="00A034D3">
        <w:t xml:space="preserve"> wurde die </w:t>
      </w:r>
      <w:r w:rsidR="00A034D3" w:rsidRPr="008C1069">
        <w:rPr>
          <w:rFonts w:cs="Arial"/>
          <w:szCs w:val="24"/>
        </w:rPr>
        <w:t xml:space="preserve">verantwortliche Fallsteuerung </w:t>
      </w:r>
      <w:r w:rsidR="00985A98">
        <w:rPr>
          <w:rFonts w:cs="Arial"/>
          <w:szCs w:val="24"/>
        </w:rPr>
        <w:t xml:space="preserve">in </w:t>
      </w:r>
      <w:r w:rsidR="00A034D3" w:rsidRPr="008C1069">
        <w:rPr>
          <w:rFonts w:cs="Arial"/>
          <w:szCs w:val="24"/>
        </w:rPr>
        <w:t>komplexen Einzelfällen nach der Methode des Case Managements</w:t>
      </w:r>
      <w:r w:rsidR="00A034D3">
        <w:rPr>
          <w:rFonts w:cs="Arial"/>
          <w:szCs w:val="24"/>
        </w:rPr>
        <w:t xml:space="preserve"> eingeführt</w:t>
      </w:r>
      <w:r w:rsidR="00A034D3" w:rsidRPr="008C1069">
        <w:rPr>
          <w:rFonts w:cs="Arial"/>
          <w:szCs w:val="24"/>
        </w:rPr>
        <w:t>.</w:t>
      </w:r>
      <w:r w:rsidR="00B30805">
        <w:rPr>
          <w:rFonts w:cs="Arial"/>
          <w:szCs w:val="24"/>
        </w:rPr>
        <w:t xml:space="preserve"> </w:t>
      </w:r>
      <w:r w:rsidRPr="008D6445">
        <w:t xml:space="preserve">Oft sind </w:t>
      </w:r>
      <w:r w:rsidR="00301988">
        <w:t xml:space="preserve">bei den oben genannten </w:t>
      </w:r>
      <w:r w:rsidR="00F60712">
        <w:t xml:space="preserve">Fällen </w:t>
      </w:r>
      <w:r w:rsidRPr="008D6445">
        <w:t>langfristige</w:t>
      </w:r>
      <w:r w:rsidR="00C96463">
        <w:t xml:space="preserve"> Begleitungen der Menschen erforderlich</w:t>
      </w:r>
      <w:r w:rsidR="00A27C8D">
        <w:t>,</w:t>
      </w:r>
      <w:r>
        <w:t xml:space="preserve"> die sehr häufig auch Hausbesuche notwendig machen.</w:t>
      </w:r>
    </w:p>
    <w:p w:rsidR="00301988" w:rsidRDefault="00301988" w:rsidP="00583E94"/>
    <w:p w:rsidR="00583E94" w:rsidRDefault="00976312" w:rsidP="00B405C4">
      <w:r>
        <w:t>Zugleich haben</w:t>
      </w:r>
      <w:r w:rsidR="00583E94">
        <w:t xml:space="preserve"> </w:t>
      </w:r>
      <w:r>
        <w:t>d</w:t>
      </w:r>
      <w:r w:rsidR="00583E94" w:rsidRPr="008D6445">
        <w:t xml:space="preserve">ie Aufgaben </w:t>
      </w:r>
      <w:r w:rsidR="00D62FEE">
        <w:t xml:space="preserve">und die Komplexität </w:t>
      </w:r>
      <w:r w:rsidR="00583E94" w:rsidRPr="008D6445">
        <w:t xml:space="preserve">im Rahmen </w:t>
      </w:r>
      <w:r w:rsidR="00583E94">
        <w:t xml:space="preserve">der </w:t>
      </w:r>
      <w:r>
        <w:t xml:space="preserve">Leistungserschließung </w:t>
      </w:r>
      <w:r w:rsidR="00D62FEE">
        <w:t xml:space="preserve">durch eine Vielzahl von gesetzlichen Änderungen </w:t>
      </w:r>
      <w:r w:rsidR="00583E94" w:rsidRPr="008D6445">
        <w:t>zugenommen</w:t>
      </w:r>
      <w:r w:rsidR="00583E94">
        <w:t>.</w:t>
      </w:r>
      <w:r w:rsidR="00583E94" w:rsidRPr="008D6445">
        <w:t xml:space="preserve"> </w:t>
      </w:r>
      <w:r w:rsidR="00583E94">
        <w:t>D</w:t>
      </w:r>
      <w:r w:rsidR="00583E94" w:rsidRPr="008D6445">
        <w:t>ies führt auch zu einem erhöhten Beratungs</w:t>
      </w:r>
      <w:r w:rsidR="00583E94">
        <w:t>- und Begleitungsbedarf</w:t>
      </w:r>
      <w:r w:rsidR="00583E94" w:rsidRPr="008D6445">
        <w:t xml:space="preserve"> der Bürger/</w:t>
      </w:r>
      <w:r w:rsidR="00DC4C4E">
        <w:t>-</w:t>
      </w:r>
      <w:r w:rsidR="00583E94" w:rsidRPr="008D6445">
        <w:t>innen</w:t>
      </w:r>
      <w:r w:rsidR="00D62FEE">
        <w:t xml:space="preserve">. </w:t>
      </w:r>
      <w:r w:rsidR="000640B7">
        <w:t xml:space="preserve">Auch die Änderungen im Betreuungsrecht </w:t>
      </w:r>
      <w:r w:rsidR="007475D2">
        <w:t xml:space="preserve">durch das </w:t>
      </w:r>
      <w:r w:rsidR="00300C64" w:rsidRPr="00DA0A6C">
        <w:t xml:space="preserve">Gesetz zur Stärkung der Funktionen der Betreuungsbehörde </w:t>
      </w:r>
      <w:r w:rsidR="004C0E81" w:rsidRPr="00DA0A6C">
        <w:t>i</w:t>
      </w:r>
      <w:r w:rsidR="004C0E81">
        <w:t>m Jahr 2014</w:t>
      </w:r>
      <w:r w:rsidR="007475D2">
        <w:t xml:space="preserve"> und die damit einhergehenden Änderungen im § 1896 Abs. 2 B</w:t>
      </w:r>
      <w:r w:rsidR="007C64B4">
        <w:t>ürgerliches Gesetzbuch (B</w:t>
      </w:r>
      <w:r w:rsidR="007475D2">
        <w:t>GB</w:t>
      </w:r>
      <w:r w:rsidR="007C64B4">
        <w:t>)</w:t>
      </w:r>
      <w:r w:rsidR="007475D2">
        <w:t xml:space="preserve"> </w:t>
      </w:r>
      <w:r w:rsidR="000640B7">
        <w:t xml:space="preserve">haben zu einer Arbeitsvermehrung geführt. Vor der Bestellung </w:t>
      </w:r>
      <w:r w:rsidR="00DC4C4E">
        <w:t>einer Betreuerin/</w:t>
      </w:r>
      <w:r w:rsidR="000640B7">
        <w:t>eines B</w:t>
      </w:r>
      <w:r w:rsidR="00BC3B88">
        <w:t xml:space="preserve">etreuers </w:t>
      </w:r>
      <w:r w:rsidR="000640B7">
        <w:t>muss stets geprüft werden, ob die Defizite der Betroffenen nicht durch vorhandene soziale Dienste aufgefangen werden können.</w:t>
      </w:r>
    </w:p>
    <w:p w:rsidR="00546E8D" w:rsidRPr="005F46B3" w:rsidRDefault="00546E8D" w:rsidP="00884D6C">
      <w:pPr>
        <w:rPr>
          <w:rFonts w:cs="Arial"/>
          <w:szCs w:val="24"/>
        </w:rPr>
      </w:pPr>
    </w:p>
    <w:p w:rsidR="00546E8D" w:rsidRDefault="00AA71BA" w:rsidP="00546E8D">
      <w:r w:rsidRPr="00395CEC">
        <w:t xml:space="preserve">Diese Faktoren haben zu einer </w:t>
      </w:r>
      <w:r w:rsidR="00546E8D">
        <w:t xml:space="preserve">erheblichen Arbeitsvermehrung geführt. Die Thematik wurde auch </w:t>
      </w:r>
      <w:r w:rsidR="00546E8D">
        <w:rPr>
          <w:color w:val="000000"/>
        </w:rPr>
        <w:t xml:space="preserve">im Rahmen eines 2018 bis Anfang 2019 durchgeführten und vom Haupt- und Personalamt begleiteten Organisationsentwicklungsprozesses </w:t>
      </w:r>
      <w:r w:rsidR="00B30805">
        <w:rPr>
          <w:color w:val="000000"/>
        </w:rPr>
        <w:t>untersucht. D</w:t>
      </w:r>
      <w:r w:rsidR="00546E8D">
        <w:t xml:space="preserve">er Gemeinderat </w:t>
      </w:r>
      <w:r w:rsidR="00B30805">
        <w:t xml:space="preserve">erhielt </w:t>
      </w:r>
      <w:r w:rsidR="008B2A5D">
        <w:t xml:space="preserve">hierüber </w:t>
      </w:r>
      <w:r w:rsidR="00546E8D">
        <w:t xml:space="preserve">durch die </w:t>
      </w:r>
      <w:proofErr w:type="spellStart"/>
      <w:r w:rsidR="00546E8D">
        <w:t>GRDrs</w:t>
      </w:r>
      <w:proofErr w:type="spellEnd"/>
      <w:r w:rsidR="00546E8D">
        <w:t xml:space="preserve"> 01/2019 und die </w:t>
      </w:r>
      <w:proofErr w:type="spellStart"/>
      <w:r w:rsidR="00546E8D">
        <w:t>GRDrs</w:t>
      </w:r>
      <w:proofErr w:type="spellEnd"/>
      <w:r w:rsidR="00546E8D">
        <w:t xml:space="preserve"> 180/2019</w:t>
      </w:r>
      <w:r w:rsidR="00B30805">
        <w:t xml:space="preserve"> ausführliche Informationen</w:t>
      </w:r>
      <w:r w:rsidR="00546E8D">
        <w:t>.</w:t>
      </w:r>
    </w:p>
    <w:p w:rsidR="004D2B01" w:rsidRPr="001705B9" w:rsidRDefault="004D2B01" w:rsidP="004D2B01"/>
    <w:p w:rsidR="004D2B01" w:rsidRDefault="004D2B01" w:rsidP="004D2B01">
      <w:r>
        <w:t xml:space="preserve">Aufgrund der demografischen Entwicklung in der Landeshauptstadt Stuttgart ist weiterhin von konstant hohen bzw. weiter anwachsenden Fallzahlen auszugehen.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03485E" w:rsidRDefault="0003485E" w:rsidP="008E32E2"/>
    <w:p w:rsidR="00160F59" w:rsidRDefault="008E32E2" w:rsidP="008E32E2">
      <w:r w:rsidRPr="008E32E2">
        <w:t xml:space="preserve">Die Aufgaben werden bisher unter </w:t>
      </w:r>
      <w:r w:rsidRPr="00363EF1">
        <w:t>große</w:t>
      </w:r>
      <w:r w:rsidR="00363EF1" w:rsidRPr="00363EF1">
        <w:t xml:space="preserve">n </w:t>
      </w:r>
      <w:r w:rsidRPr="00363EF1">
        <w:t xml:space="preserve">Anstrengungen </w:t>
      </w:r>
      <w:r w:rsidR="00160F59">
        <w:t xml:space="preserve">von den Mitarbeiterinnen und Mitarbeitern </w:t>
      </w:r>
      <w:r w:rsidR="00160F59" w:rsidRPr="008C3E18">
        <w:t>in den Stadtteilbüros</w:t>
      </w:r>
      <w:r w:rsidR="00160F59">
        <w:t xml:space="preserve"> des Bürgerservice Leben im Alter wahrgenommen.</w:t>
      </w:r>
    </w:p>
    <w:p w:rsidR="00A034D3" w:rsidRPr="008C3E18" w:rsidRDefault="00160F59" w:rsidP="008E32E2">
      <w:r w:rsidRPr="008C3E18">
        <w:t xml:space="preserve">Insgesamt stehen </w:t>
      </w:r>
      <w:r w:rsidR="008E32E2" w:rsidRPr="008C3E18">
        <w:t xml:space="preserve">24,65 Stellen </w:t>
      </w:r>
      <w:r w:rsidRPr="008C3E18">
        <w:t>für die</w:t>
      </w:r>
      <w:r w:rsidR="008C3E18" w:rsidRPr="008C3E18">
        <w:t>se</w:t>
      </w:r>
      <w:r w:rsidRPr="008C3E18">
        <w:t xml:space="preserve"> Aufgaben zur Verfügung</w:t>
      </w:r>
      <w:r w:rsidR="00527399">
        <w:t xml:space="preserve"> (Stellenbestand </w:t>
      </w:r>
      <w:r w:rsidR="00ED399E">
        <w:t xml:space="preserve">im Sachgebiet 50-42 </w:t>
      </w:r>
      <w:r w:rsidR="00527399">
        <w:t>seit 1992 unverändert, mit Ausnahme der Schaffung einer 1,00 Stelle zum Stellenplan 2014)</w:t>
      </w:r>
      <w:r w:rsidRPr="008C3E18">
        <w:t>.</w:t>
      </w:r>
      <w:r w:rsidR="008E32E2" w:rsidRPr="008C3E18">
        <w:t xml:space="preserve"> </w:t>
      </w:r>
    </w:p>
    <w:p w:rsidR="008C3E18" w:rsidRPr="008C3E18" w:rsidRDefault="008C3E18" w:rsidP="008E32E2"/>
    <w:p w:rsidR="00160F59" w:rsidRDefault="00A034D3" w:rsidP="008E32E2">
      <w:pPr>
        <w:rPr>
          <w:strike/>
        </w:rPr>
      </w:pPr>
      <w:r>
        <w:t xml:space="preserve">Die angestrebte Qualität und Begleitung kann nicht in dem Maße umgesetzt werden, wie dies </w:t>
      </w:r>
      <w:r w:rsidR="00160F59" w:rsidRPr="008C3E18">
        <w:t>vorgesehen ist</w:t>
      </w:r>
      <w:r w:rsidR="00900C2D" w:rsidRPr="008C3E18">
        <w:t xml:space="preserve"> und</w:t>
      </w:r>
      <w:r w:rsidR="00160F59" w:rsidRPr="008C3E18">
        <w:t xml:space="preserve"> </w:t>
      </w:r>
      <w:r>
        <w:t xml:space="preserve">für </w:t>
      </w:r>
      <w:r w:rsidR="0098078D">
        <w:t xml:space="preserve">zwingend </w:t>
      </w:r>
      <w:r>
        <w:t>notwendig erachtet wird</w:t>
      </w:r>
      <w:r w:rsidR="00160F59">
        <w:t xml:space="preserve">. </w:t>
      </w:r>
    </w:p>
    <w:p w:rsidR="00900C2D" w:rsidRDefault="00900C2D" w:rsidP="008E32E2"/>
    <w:p w:rsidR="008C3E18" w:rsidRDefault="008E32E2" w:rsidP="002D7979">
      <w:r>
        <w:lastRenderedPageBreak/>
        <w:t xml:space="preserve">Viele </w:t>
      </w:r>
      <w:r w:rsidR="0003485E">
        <w:t>in der</w:t>
      </w:r>
      <w:r w:rsidR="000616C8">
        <w:t xml:space="preserve"> </w:t>
      </w:r>
      <w:r w:rsidR="0003485E">
        <w:t>Partizipativen Altersplanung</w:t>
      </w:r>
      <w:r w:rsidR="00BC3B88">
        <w:t xml:space="preserve"> (</w:t>
      </w:r>
      <w:proofErr w:type="spellStart"/>
      <w:r w:rsidR="00425DA8" w:rsidRPr="008C3E18">
        <w:rPr>
          <w:rFonts w:cs="Arial"/>
          <w:szCs w:val="24"/>
        </w:rPr>
        <w:t>GRDrs</w:t>
      </w:r>
      <w:proofErr w:type="spellEnd"/>
      <w:r w:rsidR="00425DA8" w:rsidRPr="008C3E18">
        <w:rPr>
          <w:rFonts w:cs="Arial"/>
          <w:szCs w:val="24"/>
        </w:rPr>
        <w:t xml:space="preserve"> 655/2</w:t>
      </w:r>
      <w:r w:rsidR="00B30805">
        <w:rPr>
          <w:rFonts w:cs="Arial"/>
          <w:szCs w:val="24"/>
        </w:rPr>
        <w:t>0</w:t>
      </w:r>
      <w:r w:rsidR="00425DA8" w:rsidRPr="008C3E18">
        <w:rPr>
          <w:rFonts w:cs="Arial"/>
          <w:szCs w:val="24"/>
        </w:rPr>
        <w:t>11</w:t>
      </w:r>
      <w:r w:rsidR="00425DA8" w:rsidRPr="00607562">
        <w:rPr>
          <w:rFonts w:cs="Arial"/>
          <w:szCs w:val="24"/>
        </w:rPr>
        <w:t xml:space="preserve"> </w:t>
      </w:r>
      <w:r w:rsidR="003A0DEE">
        <w:rPr>
          <w:rFonts w:cs="Arial"/>
          <w:szCs w:val="24"/>
        </w:rPr>
        <w:t>„</w:t>
      </w:r>
      <w:r w:rsidR="00425DA8" w:rsidRPr="00607562">
        <w:rPr>
          <w:rFonts w:cs="Arial"/>
          <w:szCs w:val="24"/>
        </w:rPr>
        <w:t>Partizipative Altersplanung 2011 - Selbstbestimmtes und selbstständiges Leben im Alter in der Landeshauptstadt Stuttgart</w:t>
      </w:r>
      <w:r w:rsidR="003A0DEE">
        <w:rPr>
          <w:rFonts w:cs="Arial"/>
          <w:szCs w:val="24"/>
        </w:rPr>
        <w:t>“</w:t>
      </w:r>
      <w:r w:rsidR="00143B93">
        <w:rPr>
          <w:rFonts w:cs="Arial"/>
          <w:szCs w:val="24"/>
        </w:rPr>
        <w:t>)</w:t>
      </w:r>
      <w:r w:rsidR="003A0DEE">
        <w:rPr>
          <w:rFonts w:cs="Arial"/>
          <w:szCs w:val="24"/>
        </w:rPr>
        <w:t xml:space="preserve"> </w:t>
      </w:r>
      <w:r w:rsidR="0003485E">
        <w:t xml:space="preserve">sowie </w:t>
      </w:r>
      <w:r>
        <w:t xml:space="preserve">in der </w:t>
      </w:r>
      <w:r w:rsidRPr="004927D4">
        <w:t>Stellenbeschreibung</w:t>
      </w:r>
      <w:r w:rsidR="00BC3B88" w:rsidRPr="004927D4">
        <w:t xml:space="preserve"> (vgl.</w:t>
      </w:r>
      <w:r w:rsidR="00816806" w:rsidRPr="004927D4">
        <w:t xml:space="preserve"> Arbeitsplatzbeschreibung </w:t>
      </w:r>
      <w:r w:rsidR="00816806" w:rsidRPr="004927D4">
        <w:rPr>
          <w:rFonts w:cs="Arial"/>
          <w:szCs w:val="22"/>
        </w:rPr>
        <w:fldChar w:fldCharType="begin"/>
      </w:r>
      <w:r w:rsidR="00816806" w:rsidRPr="004927D4">
        <w:rPr>
          <w:rFonts w:cs="Arial"/>
          <w:szCs w:val="22"/>
        </w:rPr>
        <w:instrText xml:space="preserve">  </w:instrText>
      </w:r>
      <w:r w:rsidR="00816806" w:rsidRPr="004927D4">
        <w:rPr>
          <w:rFonts w:cs="Arial"/>
          <w:szCs w:val="22"/>
        </w:rPr>
        <w:fldChar w:fldCharType="end"/>
      </w:r>
      <w:r w:rsidR="00816806" w:rsidRPr="004927D4">
        <w:rPr>
          <w:rFonts w:cs="Arial"/>
          <w:szCs w:val="22"/>
        </w:rPr>
        <w:t>Bürgerservice Leben im Alter/Stadtteilbüros</w:t>
      </w:r>
      <w:r w:rsidR="00816806" w:rsidRPr="004927D4">
        <w:t xml:space="preserve"> vom </w:t>
      </w:r>
      <w:r w:rsidR="00816806" w:rsidRPr="004927D4">
        <w:rPr>
          <w:rFonts w:cs="Arial"/>
          <w:szCs w:val="22"/>
        </w:rPr>
        <w:t>31.08.2012</w:t>
      </w:r>
      <w:r w:rsidR="00BC3B88" w:rsidRPr="004927D4">
        <w:t xml:space="preserve">) </w:t>
      </w:r>
      <w:r w:rsidR="007A5E0C" w:rsidRPr="004927D4">
        <w:t xml:space="preserve">und </w:t>
      </w:r>
      <w:r w:rsidR="007A5E0C">
        <w:t>in der Gemeinderatsdrucksache</w:t>
      </w:r>
      <w:r w:rsidR="00BC3B88">
        <w:t xml:space="preserve"> </w:t>
      </w:r>
      <w:r w:rsidR="004C0E81">
        <w:t>(vgl.</w:t>
      </w:r>
      <w:r w:rsidR="00816806">
        <w:t xml:space="preserve"> </w:t>
      </w:r>
      <w:proofErr w:type="spellStart"/>
      <w:r w:rsidR="00816806">
        <w:t>GRDrs</w:t>
      </w:r>
      <w:proofErr w:type="spellEnd"/>
      <w:r w:rsidR="00816806">
        <w:t xml:space="preserve"> </w:t>
      </w:r>
      <w:r w:rsidR="002D7979">
        <w:rPr>
          <w:rFonts w:cs="Arial"/>
          <w:color w:val="000000"/>
          <w:szCs w:val="24"/>
        </w:rPr>
        <w:t xml:space="preserve">204/1998 </w:t>
      </w:r>
      <w:r w:rsidR="00527399">
        <w:rPr>
          <w:rFonts w:cs="Arial"/>
          <w:color w:val="000000"/>
          <w:szCs w:val="24"/>
        </w:rPr>
        <w:t>„</w:t>
      </w:r>
      <w:r w:rsidR="002D7979" w:rsidRPr="002D7979">
        <w:rPr>
          <w:rFonts w:cs="Arial"/>
          <w:color w:val="000000"/>
          <w:szCs w:val="24"/>
        </w:rPr>
        <w:t>Neustrukturierung der Sozialen Dienste</w:t>
      </w:r>
      <w:r w:rsidR="00900C2D">
        <w:rPr>
          <w:rFonts w:cs="Arial"/>
          <w:color w:val="000000"/>
          <w:szCs w:val="24"/>
        </w:rPr>
        <w:t xml:space="preserve"> </w:t>
      </w:r>
      <w:r w:rsidR="002D7979" w:rsidRPr="002D7979">
        <w:rPr>
          <w:rFonts w:cs="Arial"/>
          <w:color w:val="000000"/>
          <w:szCs w:val="24"/>
        </w:rPr>
        <w:t>bei der Landeshauptstadt Stuttgart</w:t>
      </w:r>
      <w:r w:rsidR="00527399">
        <w:rPr>
          <w:rFonts w:cs="Arial"/>
          <w:color w:val="000000"/>
          <w:szCs w:val="24"/>
        </w:rPr>
        <w:t>“</w:t>
      </w:r>
      <w:r w:rsidR="00BC3B88">
        <w:t>)</w:t>
      </w:r>
      <w:r w:rsidR="007A5E0C">
        <w:t xml:space="preserve"> </w:t>
      </w:r>
      <w:r>
        <w:t xml:space="preserve">erfassten </w:t>
      </w:r>
      <w:r w:rsidR="0003485E">
        <w:t xml:space="preserve">Standards und </w:t>
      </w:r>
      <w:r>
        <w:t xml:space="preserve">Aufgaben können nicht oder nur noch sehr reduziert wahrgenommen werden. </w:t>
      </w:r>
    </w:p>
    <w:p w:rsidR="008C3E18" w:rsidRDefault="008C3E18" w:rsidP="002D7979"/>
    <w:p w:rsidR="00527399" w:rsidRDefault="0003485E" w:rsidP="002D7979">
      <w:r w:rsidRPr="0003485E">
        <w:t xml:space="preserve">Die Bearbeitung der Fälle ist nicht mehr </w:t>
      </w:r>
      <w:r w:rsidR="00BC3B88">
        <w:t>z</w:t>
      </w:r>
      <w:r w:rsidR="00A034D3">
        <w:t>eitnah möglich und</w:t>
      </w:r>
      <w:r w:rsidRPr="0003485E">
        <w:t xml:space="preserve"> Sprechstunden konnten zum Teil nicht </w:t>
      </w:r>
      <w:r>
        <w:t xml:space="preserve">im </w:t>
      </w:r>
      <w:r w:rsidRPr="0003485E">
        <w:t>festgelegten Umfang</w:t>
      </w:r>
      <w:r w:rsidR="00A92051">
        <w:t xml:space="preserve"> bzw. nicht </w:t>
      </w:r>
      <w:r w:rsidRPr="0003485E">
        <w:t xml:space="preserve">sichergestellt werden. </w:t>
      </w:r>
      <w:r w:rsidR="00A92051">
        <w:t xml:space="preserve">Die Stadtbezirke Degerloch und </w:t>
      </w:r>
      <w:proofErr w:type="spellStart"/>
      <w:r w:rsidR="00A92051">
        <w:t>Sillenbuch</w:t>
      </w:r>
      <w:proofErr w:type="spellEnd"/>
      <w:r w:rsidR="00A92051">
        <w:t xml:space="preserve"> mussten zusammengelegt, </w:t>
      </w:r>
      <w:proofErr w:type="spellStart"/>
      <w:r w:rsidR="00A92051">
        <w:t>Botnang</w:t>
      </w:r>
      <w:proofErr w:type="spellEnd"/>
      <w:r w:rsidR="00A92051">
        <w:t xml:space="preserve"> und Zuffenhausen</w:t>
      </w:r>
      <w:r w:rsidR="00527399">
        <w:t>/Rot</w:t>
      </w:r>
      <w:r w:rsidR="00A92051">
        <w:t xml:space="preserve"> teilweise geschlossen werden.</w:t>
      </w:r>
    </w:p>
    <w:p w:rsidR="00A92051" w:rsidRDefault="00A92051" w:rsidP="002D7979">
      <w:r>
        <w:t xml:space="preserve"> </w:t>
      </w:r>
    </w:p>
    <w:p w:rsidR="005E5C71" w:rsidRDefault="008E32E2" w:rsidP="002D7979">
      <w:r>
        <w:t>Insbesondere die notwendige N</w:t>
      </w:r>
      <w:r w:rsidR="00BC3B88">
        <w:t>etzwerkarbeit</w:t>
      </w:r>
      <w:r w:rsidR="005F46B3">
        <w:t>,</w:t>
      </w:r>
      <w:r w:rsidR="00BC3B88">
        <w:t xml:space="preserve"> sowohl f</w:t>
      </w:r>
      <w:r>
        <w:t>allbez</w:t>
      </w:r>
      <w:r w:rsidR="00BC3B88">
        <w:t>ogen</w:t>
      </w:r>
      <w:r w:rsidR="005F46B3">
        <w:t>,</w:t>
      </w:r>
      <w:r w:rsidR="00BC3B88">
        <w:t xml:space="preserve"> als auch f</w:t>
      </w:r>
      <w:r>
        <w:t>allunabhängig (</w:t>
      </w:r>
      <w:r w:rsidR="004B52AF">
        <w:t>Arbeitsgemeinschaft Leben im Alter</w:t>
      </w:r>
      <w:r w:rsidR="00A034D3">
        <w:t xml:space="preserve"> in den Stadtbezirken</w:t>
      </w:r>
      <w:r>
        <w:t xml:space="preserve">) können nur noch sehr stark eingeschränkt sichergestellt werden. </w:t>
      </w:r>
      <w:r w:rsidR="00BC3B88">
        <w:t>Die</w:t>
      </w:r>
      <w:r w:rsidR="007A5E0C">
        <w:t xml:space="preserve"> ebenfalls notwendige</w:t>
      </w:r>
      <w:r w:rsidR="00BC3B88">
        <w:t xml:space="preserve"> </w:t>
      </w:r>
      <w:r w:rsidR="007A5E0C">
        <w:t>Sozialraumarbeit ist nahezu zum Erliegen gekommen.</w:t>
      </w:r>
      <w:r w:rsidR="005E5C71" w:rsidRPr="005E5C71">
        <w:t xml:space="preserve"> </w:t>
      </w:r>
    </w:p>
    <w:p w:rsidR="00C21B5B" w:rsidRPr="00C21B5B" w:rsidRDefault="00C21B5B" w:rsidP="008E32E2"/>
    <w:p w:rsidR="008E32E2" w:rsidRDefault="005E5C71" w:rsidP="008E32E2">
      <w:r w:rsidRPr="005E5C71">
        <w:t xml:space="preserve">Die </w:t>
      </w:r>
      <w:r>
        <w:t xml:space="preserve">Bearbeitung </w:t>
      </w:r>
      <w:r w:rsidR="00BC3B88">
        <w:t>der wachsenden</w:t>
      </w:r>
      <w:r w:rsidRPr="005E5C71">
        <w:t xml:space="preserve"> Fallzahlen und die erweiterten Anforderungen sind mit den bestehenden Personalressourcen nicht leistbar.</w:t>
      </w:r>
    </w:p>
    <w:p w:rsidR="00A034D3" w:rsidRDefault="00A034D3" w:rsidP="008E32E2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BC171B" w:rsidRDefault="00A306F1" w:rsidP="005E5C71">
      <w:r w:rsidRPr="00A306F1">
        <w:t xml:space="preserve">Die personelle Kapazität ist </w:t>
      </w:r>
      <w:r w:rsidR="00363EF1" w:rsidRPr="00664880">
        <w:t>unzureichend</w:t>
      </w:r>
      <w:r w:rsidRPr="00A306F1">
        <w:t xml:space="preserve">, um die </w:t>
      </w:r>
      <w:r>
        <w:t xml:space="preserve">bisherigen Standards und Aufgaben </w:t>
      </w:r>
      <w:r w:rsidRPr="00A306F1">
        <w:t xml:space="preserve">dauerhaft </w:t>
      </w:r>
      <w:r w:rsidR="005E5C71">
        <w:t>sicherstellen</w:t>
      </w:r>
      <w:r w:rsidRPr="00A306F1">
        <w:t xml:space="preserve"> zu können. </w:t>
      </w:r>
    </w:p>
    <w:p w:rsidR="00BC171B" w:rsidRDefault="00BC171B" w:rsidP="005E5C71"/>
    <w:p w:rsidR="001D1058" w:rsidRPr="001D1058" w:rsidRDefault="00BC171B" w:rsidP="001D1058">
      <w:r w:rsidRPr="00C21B5B">
        <w:t xml:space="preserve">Es muss </w:t>
      </w:r>
      <w:r w:rsidR="00C21B5B">
        <w:t>mit weiteren Einschränkungen bei den</w:t>
      </w:r>
      <w:r w:rsidRPr="00C21B5B">
        <w:t xml:space="preserve"> Sprechzeiten </w:t>
      </w:r>
      <w:r w:rsidR="00C21B5B">
        <w:t>und ggf</w:t>
      </w:r>
      <w:r w:rsidR="00D24FA4">
        <w:t>.</w:t>
      </w:r>
      <w:r w:rsidR="00C21B5B">
        <w:t xml:space="preserve"> mit </w:t>
      </w:r>
      <w:r w:rsidR="00664880" w:rsidRPr="00C21B5B">
        <w:t xml:space="preserve">Schließungen </w:t>
      </w:r>
      <w:r w:rsidRPr="00C21B5B">
        <w:t>in den Stadtt</w:t>
      </w:r>
      <w:r w:rsidR="00C21B5B">
        <w:t>eilbüros gerechnet werden. W</w:t>
      </w:r>
      <w:r w:rsidR="00C21B5B" w:rsidRPr="00C21B5B">
        <w:t>eitere Folge</w:t>
      </w:r>
      <w:r w:rsidR="00C21B5B">
        <w:t>n</w:t>
      </w:r>
      <w:r w:rsidR="00C21B5B" w:rsidRPr="00C21B5B">
        <w:t xml:space="preserve"> </w:t>
      </w:r>
      <w:r w:rsidR="00C21B5B">
        <w:t>sind</w:t>
      </w:r>
      <w:r w:rsidR="00D24FA4">
        <w:t>,</w:t>
      </w:r>
      <w:r w:rsidR="00C21B5B">
        <w:t xml:space="preserve"> </w:t>
      </w:r>
      <w:r w:rsidR="00C21B5B" w:rsidRPr="00C21B5B">
        <w:t xml:space="preserve">die Reduzierung der aufsuchenden Arbeit </w:t>
      </w:r>
      <w:r w:rsidR="00D24FA4">
        <w:t xml:space="preserve">und die Verlängerung von </w:t>
      </w:r>
      <w:r w:rsidR="00C21B5B">
        <w:t>B</w:t>
      </w:r>
      <w:r w:rsidR="00D24FA4">
        <w:t xml:space="preserve">earbeitungszeiten. </w:t>
      </w:r>
      <w:r w:rsidR="00751719">
        <w:t xml:space="preserve">Dieses kann </w:t>
      </w:r>
      <w:r w:rsidR="00C21B5B">
        <w:t xml:space="preserve">im Einzelfall </w:t>
      </w:r>
      <w:r w:rsidR="001D1058">
        <w:t>zu noch stärkeren Problemen bei</w:t>
      </w:r>
      <w:r w:rsidR="00751719">
        <w:t xml:space="preserve"> </w:t>
      </w:r>
      <w:r w:rsidR="001D1058" w:rsidRPr="001D1058">
        <w:t>Verschuldung</w:t>
      </w:r>
      <w:r w:rsidR="001D1058">
        <w:t xml:space="preserve">, </w:t>
      </w:r>
      <w:r w:rsidR="001D1058" w:rsidRPr="001D1058">
        <w:t>Verwahrlosung</w:t>
      </w:r>
      <w:r w:rsidR="001D1058">
        <w:t xml:space="preserve">, </w:t>
      </w:r>
      <w:r w:rsidR="001D1058" w:rsidRPr="001D1058">
        <w:t>Existenzsicherung</w:t>
      </w:r>
      <w:r w:rsidR="00510A03">
        <w:t>,</w:t>
      </w:r>
      <w:r w:rsidR="00751719">
        <w:t xml:space="preserve"> </w:t>
      </w:r>
      <w:r w:rsidR="001D1058">
        <w:t xml:space="preserve">drohendem </w:t>
      </w:r>
      <w:r w:rsidR="001D1058" w:rsidRPr="001D1058">
        <w:t>Wohnungsverlust</w:t>
      </w:r>
      <w:r w:rsidR="00751719">
        <w:t xml:space="preserve"> etc. führen</w:t>
      </w:r>
      <w:r w:rsidR="001D1058">
        <w:t xml:space="preserve">. </w:t>
      </w:r>
    </w:p>
    <w:p w:rsidR="001D1058" w:rsidRPr="001D1058" w:rsidRDefault="001D1058" w:rsidP="001D1058"/>
    <w:p w:rsidR="00296876" w:rsidRDefault="00BC171B" w:rsidP="005E5C71">
      <w:r w:rsidRPr="00C21B5B">
        <w:t xml:space="preserve">Die Qualität der Arbeit wird stark leiden. Angefragte Beratungen können nicht angeboten werden. </w:t>
      </w:r>
    </w:p>
    <w:p w:rsidR="00D24FA4" w:rsidRDefault="00D24FA4" w:rsidP="00D24FA4"/>
    <w:p w:rsidR="00D24FA4" w:rsidRDefault="00D24FA4" w:rsidP="00D24FA4">
      <w:r>
        <w:t>Die notwendige Netzwerkarbeit, sowohl fallbezogen, als auch fallunabhängig (Arbeitsgemeinschaft Leben im Alter in den Stadtbezirken) können nur noch sehr stark eingeschränkt sichergestellt werden. Die ebenfalls notwendige Sozialraumarbeit ist nicht möglich.</w:t>
      </w:r>
      <w:r w:rsidRPr="005E5C71">
        <w:t xml:space="preserve"> </w:t>
      </w:r>
    </w:p>
    <w:p w:rsidR="003D7B0B" w:rsidRDefault="00884D6C" w:rsidP="00B30805">
      <w:pPr>
        <w:pStyle w:val="berschrift1"/>
        <w:ind w:left="0" w:firstLine="0"/>
      </w:pPr>
      <w:r>
        <w:t>4</w:t>
      </w:r>
      <w:r>
        <w:tab/>
      </w:r>
      <w:r w:rsidR="003D7B0B">
        <w:t>Stellenvermerke</w:t>
      </w:r>
    </w:p>
    <w:p w:rsidR="006E0575" w:rsidRDefault="006E0575" w:rsidP="00884D6C"/>
    <w:p w:rsidR="00890462" w:rsidRDefault="007A444F" w:rsidP="00884D6C">
      <w:r>
        <w:t>keine</w:t>
      </w:r>
      <w:bookmarkStart w:id="0" w:name="_GoBack"/>
      <w:bookmarkEnd w:id="0"/>
    </w:p>
    <w:sectPr w:rsidR="00890462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92" w:rsidRDefault="00220492">
      <w:r>
        <w:separator/>
      </w:r>
    </w:p>
  </w:endnote>
  <w:endnote w:type="continuationSeparator" w:id="0">
    <w:p w:rsidR="00220492" w:rsidRDefault="0022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92" w:rsidRDefault="00220492">
      <w:r>
        <w:separator/>
      </w:r>
    </w:p>
  </w:footnote>
  <w:footnote w:type="continuationSeparator" w:id="0">
    <w:p w:rsidR="00220492" w:rsidRDefault="0022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87B13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87B13">
      <w:rPr>
        <w:rStyle w:val="Seitenzahl"/>
      </w:rPr>
      <w:fldChar w:fldCharType="separate"/>
    </w:r>
    <w:r w:rsidR="007A444F">
      <w:rPr>
        <w:rStyle w:val="Seitenzahl"/>
        <w:noProof/>
      </w:rPr>
      <w:t>3</w:t>
    </w:r>
    <w:r w:rsidR="00687B13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26029F7"/>
    <w:multiLevelType w:val="hybridMultilevel"/>
    <w:tmpl w:val="6278F7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70634E68"/>
    <w:multiLevelType w:val="hybridMultilevel"/>
    <w:tmpl w:val="74E85F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3485E"/>
    <w:rsid w:val="000616C8"/>
    <w:rsid w:val="000640B7"/>
    <w:rsid w:val="000804D4"/>
    <w:rsid w:val="0008507E"/>
    <w:rsid w:val="000A0414"/>
    <w:rsid w:val="000A1146"/>
    <w:rsid w:val="000E2ACE"/>
    <w:rsid w:val="000F577A"/>
    <w:rsid w:val="0011112B"/>
    <w:rsid w:val="001242EB"/>
    <w:rsid w:val="00125994"/>
    <w:rsid w:val="00143B93"/>
    <w:rsid w:val="0014415D"/>
    <w:rsid w:val="00160F59"/>
    <w:rsid w:val="00163034"/>
    <w:rsid w:val="00165C0D"/>
    <w:rsid w:val="001705B9"/>
    <w:rsid w:val="00181857"/>
    <w:rsid w:val="00184EDC"/>
    <w:rsid w:val="00194770"/>
    <w:rsid w:val="001A5ACC"/>
    <w:rsid w:val="001A5F9B"/>
    <w:rsid w:val="001D1058"/>
    <w:rsid w:val="001F3F6D"/>
    <w:rsid w:val="001F7237"/>
    <w:rsid w:val="00220492"/>
    <w:rsid w:val="0022116A"/>
    <w:rsid w:val="00223C33"/>
    <w:rsid w:val="00255C70"/>
    <w:rsid w:val="00274CBD"/>
    <w:rsid w:val="002779E3"/>
    <w:rsid w:val="002924CB"/>
    <w:rsid w:val="00296876"/>
    <w:rsid w:val="002A20D1"/>
    <w:rsid w:val="002B5955"/>
    <w:rsid w:val="002D7979"/>
    <w:rsid w:val="00300C64"/>
    <w:rsid w:val="00301988"/>
    <w:rsid w:val="00303DE0"/>
    <w:rsid w:val="00316B03"/>
    <w:rsid w:val="00336A22"/>
    <w:rsid w:val="00337622"/>
    <w:rsid w:val="00341F1E"/>
    <w:rsid w:val="003559A2"/>
    <w:rsid w:val="00363EF1"/>
    <w:rsid w:val="00380937"/>
    <w:rsid w:val="00381806"/>
    <w:rsid w:val="00395CEC"/>
    <w:rsid w:val="003A0DEE"/>
    <w:rsid w:val="003B5961"/>
    <w:rsid w:val="003D7B0B"/>
    <w:rsid w:val="003F4039"/>
    <w:rsid w:val="00425DA8"/>
    <w:rsid w:val="004360E3"/>
    <w:rsid w:val="00440497"/>
    <w:rsid w:val="0045061F"/>
    <w:rsid w:val="00467FD9"/>
    <w:rsid w:val="00470135"/>
    <w:rsid w:val="0047606A"/>
    <w:rsid w:val="004908B5"/>
    <w:rsid w:val="0049121B"/>
    <w:rsid w:val="004927D4"/>
    <w:rsid w:val="00492910"/>
    <w:rsid w:val="004A1688"/>
    <w:rsid w:val="004B52AF"/>
    <w:rsid w:val="004B6796"/>
    <w:rsid w:val="004C0E81"/>
    <w:rsid w:val="004C73A7"/>
    <w:rsid w:val="004D2B01"/>
    <w:rsid w:val="004F0487"/>
    <w:rsid w:val="00510A03"/>
    <w:rsid w:val="00517006"/>
    <w:rsid w:val="00527399"/>
    <w:rsid w:val="00546E8D"/>
    <w:rsid w:val="00583E94"/>
    <w:rsid w:val="00587155"/>
    <w:rsid w:val="005A0A9D"/>
    <w:rsid w:val="005A56AA"/>
    <w:rsid w:val="005D54A7"/>
    <w:rsid w:val="005E19C6"/>
    <w:rsid w:val="005E5C71"/>
    <w:rsid w:val="005E6407"/>
    <w:rsid w:val="005F46B3"/>
    <w:rsid w:val="005F5B3D"/>
    <w:rsid w:val="005F6656"/>
    <w:rsid w:val="00606F80"/>
    <w:rsid w:val="00635CF2"/>
    <w:rsid w:val="00664880"/>
    <w:rsid w:val="00667AEE"/>
    <w:rsid w:val="006808DB"/>
    <w:rsid w:val="006826BA"/>
    <w:rsid w:val="00687B13"/>
    <w:rsid w:val="006A7700"/>
    <w:rsid w:val="006B6D50"/>
    <w:rsid w:val="006C67E6"/>
    <w:rsid w:val="006C710C"/>
    <w:rsid w:val="006D79C8"/>
    <w:rsid w:val="006E0575"/>
    <w:rsid w:val="007475D2"/>
    <w:rsid w:val="00751719"/>
    <w:rsid w:val="00754659"/>
    <w:rsid w:val="00763784"/>
    <w:rsid w:val="007A29E4"/>
    <w:rsid w:val="007A444F"/>
    <w:rsid w:val="007A5E0C"/>
    <w:rsid w:val="007B5736"/>
    <w:rsid w:val="007C64B4"/>
    <w:rsid w:val="007C7369"/>
    <w:rsid w:val="007E3B79"/>
    <w:rsid w:val="007F1AFE"/>
    <w:rsid w:val="008066EE"/>
    <w:rsid w:val="00816806"/>
    <w:rsid w:val="00817BB6"/>
    <w:rsid w:val="00845867"/>
    <w:rsid w:val="008475C5"/>
    <w:rsid w:val="00884D6C"/>
    <w:rsid w:val="00890462"/>
    <w:rsid w:val="008A6853"/>
    <w:rsid w:val="008A6999"/>
    <w:rsid w:val="008B2A5D"/>
    <w:rsid w:val="008C3E18"/>
    <w:rsid w:val="008E32E2"/>
    <w:rsid w:val="008F2830"/>
    <w:rsid w:val="008F2911"/>
    <w:rsid w:val="00900C2D"/>
    <w:rsid w:val="00906404"/>
    <w:rsid w:val="00976312"/>
    <w:rsid w:val="00976588"/>
    <w:rsid w:val="0098078D"/>
    <w:rsid w:val="00985A98"/>
    <w:rsid w:val="00996A6D"/>
    <w:rsid w:val="009A66DF"/>
    <w:rsid w:val="009B5B59"/>
    <w:rsid w:val="009F5CD7"/>
    <w:rsid w:val="00A02488"/>
    <w:rsid w:val="00A034D3"/>
    <w:rsid w:val="00A20F2E"/>
    <w:rsid w:val="00A27C8D"/>
    <w:rsid w:val="00A27CA7"/>
    <w:rsid w:val="00A306F1"/>
    <w:rsid w:val="00A70B3E"/>
    <w:rsid w:val="00A71D0A"/>
    <w:rsid w:val="00A76918"/>
    <w:rsid w:val="00A77F1E"/>
    <w:rsid w:val="00A92051"/>
    <w:rsid w:val="00A97A9E"/>
    <w:rsid w:val="00AA71BA"/>
    <w:rsid w:val="00AC2FE5"/>
    <w:rsid w:val="00B04290"/>
    <w:rsid w:val="00B11187"/>
    <w:rsid w:val="00B22A7D"/>
    <w:rsid w:val="00B30805"/>
    <w:rsid w:val="00B34AED"/>
    <w:rsid w:val="00B405C4"/>
    <w:rsid w:val="00B46E0D"/>
    <w:rsid w:val="00B80DEF"/>
    <w:rsid w:val="00BA2EF2"/>
    <w:rsid w:val="00BC171B"/>
    <w:rsid w:val="00BC3B88"/>
    <w:rsid w:val="00BC4669"/>
    <w:rsid w:val="00BF2B95"/>
    <w:rsid w:val="00C16EF1"/>
    <w:rsid w:val="00C21B5B"/>
    <w:rsid w:val="00C448D3"/>
    <w:rsid w:val="00C8206B"/>
    <w:rsid w:val="00C96463"/>
    <w:rsid w:val="00CC7233"/>
    <w:rsid w:val="00CF4CF4"/>
    <w:rsid w:val="00D24FA4"/>
    <w:rsid w:val="00D25C94"/>
    <w:rsid w:val="00D461B9"/>
    <w:rsid w:val="00D51A85"/>
    <w:rsid w:val="00D62FEE"/>
    <w:rsid w:val="00D77792"/>
    <w:rsid w:val="00D96222"/>
    <w:rsid w:val="00DA0A6C"/>
    <w:rsid w:val="00DB3D6C"/>
    <w:rsid w:val="00DC4C4E"/>
    <w:rsid w:val="00E014B6"/>
    <w:rsid w:val="00E1162F"/>
    <w:rsid w:val="00E11D5F"/>
    <w:rsid w:val="00E20E1F"/>
    <w:rsid w:val="00E5376E"/>
    <w:rsid w:val="00E552EF"/>
    <w:rsid w:val="00E7118F"/>
    <w:rsid w:val="00E97861"/>
    <w:rsid w:val="00ED399E"/>
    <w:rsid w:val="00EE6092"/>
    <w:rsid w:val="00F04477"/>
    <w:rsid w:val="00F140D5"/>
    <w:rsid w:val="00F27657"/>
    <w:rsid w:val="00F342DC"/>
    <w:rsid w:val="00F4150D"/>
    <w:rsid w:val="00F60712"/>
    <w:rsid w:val="00F63041"/>
    <w:rsid w:val="00F76452"/>
    <w:rsid w:val="00FA177A"/>
    <w:rsid w:val="00FD6B46"/>
    <w:rsid w:val="00FD6F86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C2D39"/>
  <w15:docId w15:val="{08132D01-F8DD-4131-ABAC-21A00D6F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74CB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74CB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274CBD"/>
    <w:rPr>
      <w:sz w:val="16"/>
    </w:rPr>
  </w:style>
  <w:style w:type="paragraph" w:styleId="Kommentartext">
    <w:name w:val="annotation text"/>
    <w:basedOn w:val="Standard"/>
    <w:semiHidden/>
    <w:rsid w:val="00274CBD"/>
    <w:rPr>
      <w:sz w:val="20"/>
    </w:rPr>
  </w:style>
  <w:style w:type="paragraph" w:styleId="Fuzeile">
    <w:name w:val="footer"/>
    <w:basedOn w:val="Standard"/>
    <w:rsid w:val="00274CB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274CB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Default">
    <w:name w:val="Default"/>
    <w:rsid w:val="00D962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rsid w:val="00D24FA4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92B44E0F.dotm</Template>
  <TotalTime>0</TotalTime>
  <Pages>3</Pages>
  <Words>887</Words>
  <Characters>6043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Hauser, Petra</cp:lastModifiedBy>
  <cp:revision>10</cp:revision>
  <cp:lastPrinted>2019-09-27T10:18:00Z</cp:lastPrinted>
  <dcterms:created xsi:type="dcterms:W3CDTF">2019-09-24T13:11:00Z</dcterms:created>
  <dcterms:modified xsi:type="dcterms:W3CDTF">2019-09-27T10:18:00Z</dcterms:modified>
</cp:coreProperties>
</file>