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04947" w14:textId="45BD6892" w:rsidR="001D0FCF" w:rsidRPr="006E0575" w:rsidRDefault="001D0FCF" w:rsidP="001D0FCF">
      <w:pPr>
        <w:jc w:val="right"/>
      </w:pPr>
      <w:r w:rsidRPr="006E0575">
        <w:t xml:space="preserve">Anlage </w:t>
      </w:r>
      <w:r w:rsidR="00DE3357">
        <w:t>14</w:t>
      </w:r>
      <w:r w:rsidRPr="006E0575">
        <w:t xml:space="preserve"> zur GRDrs </w:t>
      </w:r>
      <w:r w:rsidR="00DE3357">
        <w:t>853</w:t>
      </w:r>
      <w:r>
        <w:t>/2021</w:t>
      </w:r>
    </w:p>
    <w:p w14:paraId="1777ED5B" w14:textId="77777777" w:rsidR="003D7B0B" w:rsidRPr="00DD4FE5" w:rsidRDefault="003D7B0B" w:rsidP="006E0575">
      <w:pPr>
        <w:rPr>
          <w:rFonts w:cs="Arial"/>
        </w:rPr>
      </w:pPr>
    </w:p>
    <w:p w14:paraId="6ED97740" w14:textId="77777777" w:rsidR="003D7B0B" w:rsidRPr="00DD4FE5" w:rsidRDefault="003D7B0B" w:rsidP="006E0575">
      <w:pPr>
        <w:rPr>
          <w:rFonts w:cs="Arial"/>
        </w:rPr>
      </w:pPr>
      <w:bookmarkStart w:id="0" w:name="_GoBack"/>
    </w:p>
    <w:bookmarkEnd w:id="0"/>
    <w:p w14:paraId="27C0BF1F" w14:textId="481F2116" w:rsidR="00184EDC" w:rsidRPr="00DD4FE5" w:rsidRDefault="003D7B0B" w:rsidP="00397717">
      <w:pPr>
        <w:jc w:val="center"/>
        <w:rPr>
          <w:rFonts w:cs="Arial"/>
          <w:b/>
          <w:sz w:val="36"/>
        </w:rPr>
      </w:pPr>
      <w:r w:rsidRPr="00DD4FE5">
        <w:rPr>
          <w:rFonts w:cs="Arial"/>
          <w:b/>
          <w:sz w:val="36"/>
          <w:u w:val="single"/>
        </w:rPr>
        <w:t>Stellenschaffun</w:t>
      </w:r>
      <w:r w:rsidRPr="00DD4FE5">
        <w:rPr>
          <w:rFonts w:cs="Arial"/>
          <w:b/>
          <w:sz w:val="36"/>
        </w:rPr>
        <w:t>g</w:t>
      </w:r>
    </w:p>
    <w:p w14:paraId="2870DF41" w14:textId="24EB34C5" w:rsidR="006071F7" w:rsidRPr="00DD4FE5" w:rsidRDefault="00184EDC" w:rsidP="008F22FF">
      <w:pPr>
        <w:jc w:val="center"/>
        <w:rPr>
          <w:rFonts w:cs="Arial"/>
          <w:b/>
          <w:sz w:val="36"/>
          <w:szCs w:val="36"/>
          <w:u w:val="single"/>
        </w:rPr>
      </w:pPr>
      <w:r w:rsidRPr="00DD4FE5">
        <w:rPr>
          <w:rFonts w:cs="Arial"/>
          <w:b/>
          <w:sz w:val="36"/>
          <w:szCs w:val="36"/>
          <w:u w:val="single"/>
        </w:rPr>
        <w:t>zum Stellenplan 20</w:t>
      </w:r>
      <w:r w:rsidR="00DE362D" w:rsidRPr="00DD4FE5">
        <w:rPr>
          <w:rFonts w:cs="Arial"/>
          <w:b/>
          <w:sz w:val="36"/>
          <w:szCs w:val="36"/>
          <w:u w:val="single"/>
        </w:rPr>
        <w:t>2</w:t>
      </w:r>
      <w:r w:rsidR="00C0596F" w:rsidRPr="00DD4FE5">
        <w:rPr>
          <w:rFonts w:cs="Arial"/>
          <w:b/>
          <w:sz w:val="36"/>
          <w:szCs w:val="36"/>
          <w:u w:val="single"/>
        </w:rPr>
        <w:t>2</w:t>
      </w:r>
    </w:p>
    <w:p w14:paraId="0D319609" w14:textId="77777777" w:rsidR="00DE362D" w:rsidRPr="00DD4FE5" w:rsidRDefault="00DE362D" w:rsidP="006E0575">
      <w:pPr>
        <w:rPr>
          <w:rFonts w:cs="Arial"/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DD4FE5" w14:paraId="320D0466" w14:textId="77777777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14:paraId="42558D71" w14:textId="77777777" w:rsidR="00DE362D" w:rsidRPr="00DD4FE5" w:rsidRDefault="005F5B3D" w:rsidP="0030686C">
            <w:pPr>
              <w:spacing w:before="120" w:after="120" w:line="200" w:lineRule="exact"/>
              <w:ind w:right="-85"/>
              <w:rPr>
                <w:rFonts w:cs="Arial"/>
                <w:sz w:val="16"/>
                <w:szCs w:val="16"/>
              </w:rPr>
            </w:pPr>
            <w:r w:rsidRPr="00DD4FE5">
              <w:rPr>
                <w:rFonts w:cs="Arial"/>
                <w:sz w:val="16"/>
                <w:szCs w:val="16"/>
              </w:rPr>
              <w:t>Org.-Einheit</w:t>
            </w:r>
            <w:r w:rsidR="00380937" w:rsidRPr="00DD4FE5">
              <w:rPr>
                <w:rFonts w:cs="Arial"/>
                <w:sz w:val="16"/>
                <w:szCs w:val="16"/>
              </w:rPr>
              <w:t>,</w:t>
            </w:r>
          </w:p>
          <w:p w14:paraId="67200E67" w14:textId="77777777" w:rsidR="005F5B3D" w:rsidRPr="00DD4FE5" w:rsidRDefault="005F5B3D" w:rsidP="0030686C">
            <w:pPr>
              <w:spacing w:before="120" w:after="120" w:line="200" w:lineRule="exact"/>
              <w:ind w:right="-85"/>
              <w:rPr>
                <w:rFonts w:cs="Arial"/>
                <w:sz w:val="16"/>
                <w:szCs w:val="16"/>
              </w:rPr>
            </w:pPr>
            <w:r w:rsidRPr="00DD4FE5">
              <w:rPr>
                <w:rFonts w:cs="Arial"/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53D563E7" w14:textId="77777777" w:rsidR="005F5B3D" w:rsidRPr="00DD4FE5" w:rsidRDefault="005F5B3D" w:rsidP="0030686C">
            <w:pPr>
              <w:spacing w:before="120" w:after="120" w:line="200" w:lineRule="exact"/>
              <w:ind w:right="-85"/>
              <w:rPr>
                <w:rFonts w:cs="Arial"/>
                <w:sz w:val="16"/>
                <w:szCs w:val="16"/>
              </w:rPr>
            </w:pPr>
            <w:r w:rsidRPr="00DD4FE5">
              <w:rPr>
                <w:rFonts w:cs="Arial"/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14:paraId="3C6670A1" w14:textId="77777777" w:rsidR="00DE362D" w:rsidRPr="00DD4FE5" w:rsidRDefault="00606F80" w:rsidP="0030686C">
            <w:pPr>
              <w:spacing w:before="120" w:after="120" w:line="200" w:lineRule="exact"/>
              <w:ind w:right="-85"/>
              <w:rPr>
                <w:rFonts w:cs="Arial"/>
                <w:sz w:val="16"/>
                <w:szCs w:val="16"/>
              </w:rPr>
            </w:pPr>
            <w:r w:rsidRPr="00DD4FE5">
              <w:rPr>
                <w:rFonts w:cs="Arial"/>
                <w:sz w:val="16"/>
                <w:szCs w:val="16"/>
              </w:rPr>
              <w:t>BesGr.</w:t>
            </w:r>
          </w:p>
          <w:p w14:paraId="40FBB6EA" w14:textId="77777777" w:rsidR="00DE362D" w:rsidRPr="00DD4FE5" w:rsidRDefault="00606F80" w:rsidP="0030686C">
            <w:pPr>
              <w:spacing w:before="120" w:after="120" w:line="200" w:lineRule="exact"/>
              <w:ind w:right="-85"/>
              <w:rPr>
                <w:rFonts w:cs="Arial"/>
                <w:sz w:val="16"/>
                <w:szCs w:val="16"/>
              </w:rPr>
            </w:pPr>
            <w:r w:rsidRPr="00DD4FE5">
              <w:rPr>
                <w:rFonts w:cs="Arial"/>
                <w:sz w:val="16"/>
                <w:szCs w:val="16"/>
              </w:rPr>
              <w:t>oder</w:t>
            </w:r>
          </w:p>
          <w:p w14:paraId="13A51477" w14:textId="77777777" w:rsidR="00606F80" w:rsidRPr="00DD4FE5" w:rsidRDefault="00606F80" w:rsidP="0030686C">
            <w:pPr>
              <w:spacing w:before="120" w:after="120" w:line="200" w:lineRule="exact"/>
              <w:ind w:right="-85"/>
              <w:rPr>
                <w:rFonts w:cs="Arial"/>
                <w:sz w:val="16"/>
                <w:szCs w:val="16"/>
              </w:rPr>
            </w:pPr>
            <w:r w:rsidRPr="00DD4FE5">
              <w:rPr>
                <w:rFonts w:cs="Arial"/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14:paraId="3F0ECA75" w14:textId="77777777" w:rsidR="005F5B3D" w:rsidRPr="00DD4FE5" w:rsidRDefault="005F5B3D" w:rsidP="0030686C">
            <w:pPr>
              <w:spacing w:before="120" w:after="120" w:line="200" w:lineRule="exact"/>
              <w:ind w:right="-85"/>
              <w:rPr>
                <w:rFonts w:cs="Arial"/>
                <w:sz w:val="16"/>
                <w:szCs w:val="16"/>
              </w:rPr>
            </w:pPr>
            <w:r w:rsidRPr="00DD4FE5">
              <w:rPr>
                <w:rFonts w:cs="Arial"/>
                <w:sz w:val="16"/>
                <w:szCs w:val="16"/>
              </w:rPr>
              <w:t>Funktions</w:t>
            </w:r>
            <w:r w:rsidR="00622CC7" w:rsidRPr="00DD4FE5">
              <w:rPr>
                <w:rFonts w:cs="Arial"/>
                <w:sz w:val="16"/>
                <w:szCs w:val="16"/>
              </w:rPr>
              <w:t>-</w:t>
            </w:r>
            <w:r w:rsidR="00622CC7" w:rsidRPr="00DD4FE5">
              <w:rPr>
                <w:rFonts w:cs="Arial"/>
                <w:sz w:val="16"/>
                <w:szCs w:val="16"/>
              </w:rPr>
              <w:br/>
            </w:r>
            <w:r w:rsidRPr="00DD4FE5">
              <w:rPr>
                <w:rFonts w:cs="Arial"/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14:paraId="3579D14E" w14:textId="77777777" w:rsidR="005F5B3D" w:rsidRPr="00DD4FE5" w:rsidRDefault="005F5B3D" w:rsidP="0030686C">
            <w:pPr>
              <w:spacing w:before="120" w:after="120" w:line="200" w:lineRule="exact"/>
              <w:ind w:right="-85"/>
              <w:rPr>
                <w:rFonts w:cs="Arial"/>
                <w:sz w:val="16"/>
                <w:szCs w:val="16"/>
              </w:rPr>
            </w:pPr>
            <w:r w:rsidRPr="00DD4FE5">
              <w:rPr>
                <w:rFonts w:cs="Arial"/>
                <w:sz w:val="16"/>
                <w:szCs w:val="16"/>
              </w:rPr>
              <w:t>Anzahl</w:t>
            </w:r>
            <w:r w:rsidRPr="00DD4FE5">
              <w:rPr>
                <w:rFonts w:cs="Arial"/>
                <w:sz w:val="16"/>
                <w:szCs w:val="16"/>
              </w:rPr>
              <w:br/>
              <w:t>der</w:t>
            </w:r>
            <w:r w:rsidRPr="00DD4FE5">
              <w:rPr>
                <w:rFonts w:cs="Arial"/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1D5F7F45" w14:textId="77777777" w:rsidR="005F5B3D" w:rsidRPr="00DD4FE5" w:rsidRDefault="005F5B3D" w:rsidP="0030686C">
            <w:pPr>
              <w:spacing w:before="120" w:after="120" w:line="200" w:lineRule="exact"/>
              <w:ind w:right="-85"/>
              <w:rPr>
                <w:rFonts w:cs="Arial"/>
                <w:sz w:val="16"/>
                <w:szCs w:val="16"/>
              </w:rPr>
            </w:pPr>
            <w:r w:rsidRPr="00DD4FE5">
              <w:rPr>
                <w:rFonts w:cs="Arial"/>
                <w:sz w:val="16"/>
                <w:szCs w:val="16"/>
              </w:rPr>
              <w:t>Stellen-</w:t>
            </w:r>
            <w:r w:rsidRPr="00DD4FE5">
              <w:rPr>
                <w:rFonts w:cs="Arial"/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14:paraId="73A23D0D" w14:textId="77777777" w:rsidR="005F5B3D" w:rsidRPr="00DD4FE5" w:rsidRDefault="005F5B3D" w:rsidP="0030686C">
            <w:pPr>
              <w:spacing w:before="120" w:after="120" w:line="200" w:lineRule="exact"/>
              <w:ind w:right="-85"/>
              <w:rPr>
                <w:rFonts w:cs="Arial"/>
                <w:sz w:val="16"/>
                <w:szCs w:val="16"/>
              </w:rPr>
            </w:pPr>
            <w:r w:rsidRPr="00DD4FE5">
              <w:rPr>
                <w:rFonts w:cs="Arial"/>
                <w:sz w:val="16"/>
                <w:szCs w:val="16"/>
              </w:rPr>
              <w:t>durchschnittl.</w:t>
            </w:r>
            <w:r w:rsidRPr="00DD4FE5">
              <w:rPr>
                <w:rFonts w:cs="Arial"/>
                <w:sz w:val="16"/>
                <w:szCs w:val="16"/>
              </w:rPr>
              <w:br/>
              <w:t>jährl. kosten-</w:t>
            </w:r>
            <w:r w:rsidRPr="00DD4FE5">
              <w:rPr>
                <w:rFonts w:cs="Arial"/>
                <w:sz w:val="16"/>
                <w:szCs w:val="16"/>
              </w:rPr>
              <w:br/>
              <w:t>wirksamer</w:t>
            </w:r>
            <w:r w:rsidR="00DE362D" w:rsidRPr="00DD4FE5">
              <w:rPr>
                <w:rFonts w:cs="Arial"/>
                <w:sz w:val="16"/>
                <w:szCs w:val="16"/>
              </w:rPr>
              <w:t xml:space="preserve"> </w:t>
            </w:r>
            <w:r w:rsidRPr="00DD4FE5">
              <w:rPr>
                <w:rFonts w:cs="Arial"/>
                <w:sz w:val="16"/>
                <w:szCs w:val="16"/>
              </w:rPr>
              <w:br/>
              <w:t>Aufwand</w:t>
            </w:r>
            <w:r w:rsidR="0030686C" w:rsidRPr="00DD4FE5">
              <w:rPr>
                <w:rFonts w:cs="Arial"/>
                <w:sz w:val="16"/>
                <w:szCs w:val="16"/>
              </w:rPr>
              <w:t xml:space="preserve"> </w:t>
            </w:r>
            <w:r w:rsidRPr="00DD4FE5">
              <w:rPr>
                <w:rFonts w:cs="Arial"/>
                <w:sz w:val="16"/>
                <w:szCs w:val="16"/>
              </w:rPr>
              <w:br/>
            </w:r>
            <w:r w:rsidR="003F0FAA" w:rsidRPr="00DD4FE5">
              <w:rPr>
                <w:rFonts w:cs="Arial"/>
                <w:sz w:val="16"/>
                <w:szCs w:val="16"/>
              </w:rPr>
              <w:t xml:space="preserve">in </w:t>
            </w:r>
            <w:r w:rsidRPr="00DD4FE5">
              <w:rPr>
                <w:rFonts w:cs="Arial"/>
                <w:sz w:val="16"/>
                <w:szCs w:val="16"/>
              </w:rPr>
              <w:t>Euro</w:t>
            </w:r>
          </w:p>
        </w:tc>
      </w:tr>
      <w:tr w:rsidR="005F5B3D" w:rsidRPr="00DD4FE5" w14:paraId="220AE2AE" w14:textId="77777777" w:rsidTr="00DE362D">
        <w:tc>
          <w:tcPr>
            <w:tcW w:w="1814" w:type="dxa"/>
          </w:tcPr>
          <w:p w14:paraId="386E8D74" w14:textId="77777777" w:rsidR="005F5B3D" w:rsidRPr="00DD4FE5" w:rsidRDefault="005F5B3D" w:rsidP="0030686C">
            <w:pPr>
              <w:rPr>
                <w:rFonts w:cs="Arial"/>
                <w:sz w:val="20"/>
              </w:rPr>
            </w:pPr>
          </w:p>
          <w:p w14:paraId="0435712A" w14:textId="77777777" w:rsidR="005F5B3D" w:rsidRPr="00DD4FE5" w:rsidRDefault="007D0B85" w:rsidP="0030686C">
            <w:pPr>
              <w:rPr>
                <w:rFonts w:cs="Arial"/>
                <w:sz w:val="20"/>
              </w:rPr>
            </w:pPr>
            <w:r w:rsidRPr="00DD4FE5">
              <w:rPr>
                <w:rFonts w:cs="Arial"/>
                <w:sz w:val="20"/>
              </w:rPr>
              <w:t>62-5</w:t>
            </w:r>
            <w:r w:rsidR="00CF50D7" w:rsidRPr="00DD4FE5">
              <w:rPr>
                <w:rFonts w:cs="Arial"/>
                <w:sz w:val="20"/>
              </w:rPr>
              <w:t>.3</w:t>
            </w:r>
          </w:p>
          <w:p w14:paraId="1142F974" w14:textId="77777777" w:rsidR="0011112B" w:rsidRPr="00DD4FE5" w:rsidRDefault="0011112B" w:rsidP="0030686C">
            <w:pPr>
              <w:rPr>
                <w:rFonts w:cs="Arial"/>
                <w:sz w:val="20"/>
              </w:rPr>
            </w:pPr>
          </w:p>
          <w:p w14:paraId="51689C86" w14:textId="7B104E06" w:rsidR="0011112B" w:rsidRPr="00DD4FE5" w:rsidRDefault="003A6C59" w:rsidP="0030686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6250</w:t>
            </w:r>
            <w:r w:rsidR="005E0E2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5010</w:t>
            </w:r>
          </w:p>
          <w:p w14:paraId="3549A22A" w14:textId="77777777" w:rsidR="005F5B3D" w:rsidRPr="00DD4FE5" w:rsidRDefault="005F5B3D" w:rsidP="0030686C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64DEE4CC" w14:textId="77777777" w:rsidR="005F5B3D" w:rsidRPr="00DD4FE5" w:rsidRDefault="005F5B3D" w:rsidP="0030686C">
            <w:pPr>
              <w:rPr>
                <w:rFonts w:cs="Arial"/>
                <w:sz w:val="20"/>
              </w:rPr>
            </w:pPr>
          </w:p>
          <w:p w14:paraId="55FC4125" w14:textId="77777777" w:rsidR="001D0FCF" w:rsidRDefault="00464AF7" w:rsidP="00464AF7">
            <w:pPr>
              <w:rPr>
                <w:sz w:val="20"/>
              </w:rPr>
            </w:pPr>
            <w:r>
              <w:rPr>
                <w:sz w:val="20"/>
              </w:rPr>
              <w:t>Stadtmessungsamt</w:t>
            </w:r>
          </w:p>
          <w:p w14:paraId="495C1CE1" w14:textId="77777777" w:rsidR="005F5B3D" w:rsidRPr="00DD4FE5" w:rsidRDefault="005F5B3D" w:rsidP="0030686C">
            <w:pPr>
              <w:rPr>
                <w:rFonts w:cs="Arial"/>
                <w:sz w:val="20"/>
              </w:rPr>
            </w:pPr>
          </w:p>
        </w:tc>
        <w:tc>
          <w:tcPr>
            <w:tcW w:w="794" w:type="dxa"/>
          </w:tcPr>
          <w:p w14:paraId="6DCCC7EA" w14:textId="77777777" w:rsidR="005F5B3D" w:rsidRPr="00DD4FE5" w:rsidRDefault="005F5B3D" w:rsidP="0030686C">
            <w:pPr>
              <w:rPr>
                <w:rFonts w:cs="Arial"/>
                <w:sz w:val="20"/>
              </w:rPr>
            </w:pPr>
          </w:p>
          <w:p w14:paraId="641E5697" w14:textId="27C69B2E" w:rsidR="005F5B3D" w:rsidRDefault="007D0B85" w:rsidP="00CF50D7">
            <w:pPr>
              <w:rPr>
                <w:rFonts w:cs="Arial"/>
                <w:sz w:val="20"/>
              </w:rPr>
            </w:pPr>
            <w:r w:rsidRPr="00DD4FE5">
              <w:rPr>
                <w:rFonts w:cs="Arial"/>
                <w:sz w:val="20"/>
              </w:rPr>
              <w:t>EG 1</w:t>
            </w:r>
            <w:r w:rsidR="00E518D6">
              <w:rPr>
                <w:rFonts w:cs="Arial"/>
                <w:sz w:val="20"/>
              </w:rPr>
              <w:t>1</w:t>
            </w:r>
          </w:p>
          <w:p w14:paraId="7188B893" w14:textId="77777777" w:rsidR="00EE6118" w:rsidRDefault="00EE6118" w:rsidP="00CF50D7">
            <w:pPr>
              <w:rPr>
                <w:rFonts w:cs="Arial"/>
                <w:sz w:val="20"/>
              </w:rPr>
            </w:pPr>
          </w:p>
          <w:p w14:paraId="57D54D25" w14:textId="77777777" w:rsidR="00865DB7" w:rsidRDefault="00865DB7" w:rsidP="00CF50D7">
            <w:pPr>
              <w:rPr>
                <w:rFonts w:cs="Arial"/>
                <w:sz w:val="20"/>
              </w:rPr>
            </w:pPr>
          </w:p>
          <w:p w14:paraId="494D0805" w14:textId="7F69296C" w:rsidR="00EE6118" w:rsidRDefault="00EE6118" w:rsidP="00CF50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EG 9a</w:t>
            </w:r>
          </w:p>
          <w:p w14:paraId="7AECBEFC" w14:textId="77777777" w:rsidR="001D0FCF" w:rsidRPr="00DD4FE5" w:rsidRDefault="001D0FCF" w:rsidP="00CF50D7">
            <w:pPr>
              <w:rPr>
                <w:rFonts w:cs="Arial"/>
                <w:sz w:val="20"/>
              </w:rPr>
            </w:pPr>
          </w:p>
        </w:tc>
        <w:tc>
          <w:tcPr>
            <w:tcW w:w="1928" w:type="dxa"/>
          </w:tcPr>
          <w:p w14:paraId="6767CB78" w14:textId="77777777" w:rsidR="005F5B3D" w:rsidRPr="00DD4FE5" w:rsidRDefault="005F5B3D" w:rsidP="0030686C">
            <w:pPr>
              <w:rPr>
                <w:rFonts w:cs="Arial"/>
                <w:sz w:val="20"/>
              </w:rPr>
            </w:pPr>
          </w:p>
          <w:p w14:paraId="1D928DFE" w14:textId="587BE6B2" w:rsidR="00BC5926" w:rsidRDefault="00CF50D7" w:rsidP="0030686C">
            <w:pPr>
              <w:rPr>
                <w:rFonts w:cs="Arial"/>
                <w:sz w:val="20"/>
              </w:rPr>
            </w:pPr>
            <w:r w:rsidRPr="00DD4FE5">
              <w:rPr>
                <w:rFonts w:cs="Arial"/>
                <w:sz w:val="20"/>
              </w:rPr>
              <w:t>GeoIT System Manager</w:t>
            </w:r>
            <w:r w:rsidR="005E0E2C">
              <w:rPr>
                <w:rFonts w:cs="Arial"/>
                <w:sz w:val="20"/>
              </w:rPr>
              <w:t>/-in</w:t>
            </w:r>
          </w:p>
          <w:p w14:paraId="263845AA" w14:textId="77777777" w:rsidR="00865DB7" w:rsidRDefault="00865DB7" w:rsidP="0030686C">
            <w:pPr>
              <w:rPr>
                <w:rFonts w:cs="Arial"/>
                <w:sz w:val="20"/>
              </w:rPr>
            </w:pPr>
          </w:p>
          <w:p w14:paraId="54DDF7D9" w14:textId="63BFFBA9" w:rsidR="001D0FCF" w:rsidRPr="00DD4FE5" w:rsidRDefault="009753D8" w:rsidP="009753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Geomatiker</w:t>
            </w:r>
            <w:r w:rsidR="005E0E2C">
              <w:rPr>
                <w:rFonts w:cs="Arial"/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14:paraId="627A34CB" w14:textId="77777777" w:rsidR="005F5B3D" w:rsidRPr="00DD4FE5" w:rsidRDefault="005F5B3D" w:rsidP="0030686C">
            <w:pPr>
              <w:rPr>
                <w:rFonts w:cs="Arial"/>
                <w:sz w:val="20"/>
              </w:rPr>
            </w:pPr>
          </w:p>
          <w:p w14:paraId="05483E58" w14:textId="0EB5063A" w:rsidR="005F5B3D" w:rsidRDefault="00CF50D7" w:rsidP="0030686C">
            <w:pPr>
              <w:rPr>
                <w:rFonts w:cs="Arial"/>
                <w:sz w:val="20"/>
              </w:rPr>
            </w:pPr>
            <w:r w:rsidRPr="00DD4FE5">
              <w:rPr>
                <w:rFonts w:cs="Arial"/>
                <w:sz w:val="20"/>
              </w:rPr>
              <w:t>1</w:t>
            </w:r>
            <w:r w:rsidR="00865DB7">
              <w:rPr>
                <w:rFonts w:cs="Arial"/>
                <w:sz w:val="20"/>
              </w:rPr>
              <w:t>,0</w:t>
            </w:r>
          </w:p>
          <w:p w14:paraId="238AC520" w14:textId="77777777" w:rsidR="001D0FCF" w:rsidRDefault="001D0FCF" w:rsidP="0030686C">
            <w:pPr>
              <w:rPr>
                <w:rFonts w:cs="Arial"/>
                <w:sz w:val="20"/>
              </w:rPr>
            </w:pPr>
          </w:p>
          <w:p w14:paraId="2CFD5BBC" w14:textId="77777777" w:rsidR="00865DB7" w:rsidRDefault="00865DB7" w:rsidP="0030686C">
            <w:pPr>
              <w:rPr>
                <w:rFonts w:cs="Arial"/>
                <w:sz w:val="20"/>
              </w:rPr>
            </w:pPr>
          </w:p>
          <w:p w14:paraId="3F8C6D57" w14:textId="51BCAB1F" w:rsidR="00EE6118" w:rsidRPr="00DD4FE5" w:rsidRDefault="00EE6118" w:rsidP="0030686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865DB7">
              <w:rPr>
                <w:rFonts w:cs="Arial"/>
                <w:sz w:val="20"/>
              </w:rPr>
              <w:t>,0</w:t>
            </w:r>
          </w:p>
        </w:tc>
        <w:tc>
          <w:tcPr>
            <w:tcW w:w="1134" w:type="dxa"/>
          </w:tcPr>
          <w:p w14:paraId="094B855D" w14:textId="77777777" w:rsidR="005F5B3D" w:rsidRPr="00DD4FE5" w:rsidRDefault="005F5B3D" w:rsidP="0030686C">
            <w:pPr>
              <w:rPr>
                <w:rFonts w:cs="Arial"/>
                <w:sz w:val="20"/>
              </w:rPr>
            </w:pPr>
          </w:p>
          <w:p w14:paraId="314803B3" w14:textId="40331830" w:rsidR="005F5B3D" w:rsidRPr="00DD4FE5" w:rsidRDefault="0072799A" w:rsidP="0030686C">
            <w:pPr>
              <w:rPr>
                <w:rFonts w:cs="Arial"/>
                <w:sz w:val="20"/>
              </w:rPr>
            </w:pPr>
            <w:r w:rsidRPr="00DD4FE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 w:rsidRPr="00DD4FE5">
              <w:rPr>
                <w:rFonts w:cs="Arial"/>
                <w:sz w:val="20"/>
              </w:rPr>
              <w:instrText xml:space="preserve"> FORMTEXT </w:instrText>
            </w:r>
            <w:r w:rsidRPr="00DD4FE5">
              <w:rPr>
                <w:rFonts w:cs="Arial"/>
                <w:sz w:val="20"/>
              </w:rPr>
            </w:r>
            <w:r w:rsidRPr="00DD4FE5">
              <w:rPr>
                <w:rFonts w:cs="Arial"/>
                <w:sz w:val="20"/>
              </w:rPr>
              <w:fldChar w:fldCharType="separate"/>
            </w:r>
            <w:r w:rsidR="00214440">
              <w:rPr>
                <w:rFonts w:cs="Arial"/>
                <w:noProof/>
                <w:sz w:val="20"/>
              </w:rPr>
              <w:t> </w:t>
            </w:r>
            <w:r w:rsidR="00214440">
              <w:rPr>
                <w:rFonts w:cs="Arial"/>
                <w:noProof/>
                <w:sz w:val="20"/>
              </w:rPr>
              <w:t> </w:t>
            </w:r>
            <w:r w:rsidR="00214440">
              <w:rPr>
                <w:rFonts w:cs="Arial"/>
                <w:noProof/>
                <w:sz w:val="20"/>
              </w:rPr>
              <w:t> </w:t>
            </w:r>
            <w:r w:rsidR="00214440">
              <w:rPr>
                <w:rFonts w:cs="Arial"/>
                <w:noProof/>
                <w:sz w:val="20"/>
              </w:rPr>
              <w:t> </w:t>
            </w:r>
            <w:r w:rsidR="00214440">
              <w:rPr>
                <w:rFonts w:cs="Arial"/>
                <w:noProof/>
                <w:sz w:val="20"/>
              </w:rPr>
              <w:t> </w:t>
            </w:r>
            <w:r w:rsidRPr="00DD4FE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32C2A55F" w14:textId="77777777" w:rsidR="005F5B3D" w:rsidRPr="00DD4FE5" w:rsidRDefault="005F5B3D" w:rsidP="0030686C">
            <w:pPr>
              <w:rPr>
                <w:rFonts w:cs="Arial"/>
                <w:sz w:val="20"/>
              </w:rPr>
            </w:pPr>
          </w:p>
          <w:p w14:paraId="0E618F8B" w14:textId="35340D6C" w:rsidR="00EE6118" w:rsidRDefault="00E518D6" w:rsidP="0030686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77.400</w:t>
            </w:r>
          </w:p>
          <w:p w14:paraId="755F540E" w14:textId="77777777" w:rsidR="00DE3357" w:rsidRDefault="00DE3357" w:rsidP="0030686C">
            <w:pPr>
              <w:rPr>
                <w:rFonts w:cs="Arial"/>
                <w:sz w:val="20"/>
              </w:rPr>
            </w:pPr>
          </w:p>
          <w:p w14:paraId="65288443" w14:textId="77777777" w:rsidR="00DE3357" w:rsidRDefault="00DE3357" w:rsidP="0030686C">
            <w:pPr>
              <w:rPr>
                <w:rFonts w:cs="Arial"/>
                <w:sz w:val="20"/>
              </w:rPr>
            </w:pPr>
          </w:p>
          <w:p w14:paraId="704F01F4" w14:textId="5E66DCD3" w:rsidR="00DE3357" w:rsidRPr="00DD4FE5" w:rsidRDefault="00DE3357" w:rsidP="0030686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62.900</w:t>
            </w:r>
          </w:p>
        </w:tc>
      </w:tr>
    </w:tbl>
    <w:p w14:paraId="16A6FC90" w14:textId="4FCC8D8E" w:rsidR="003D7B0B" w:rsidRPr="00DD4FE5" w:rsidRDefault="006E0575" w:rsidP="00884D6C">
      <w:pPr>
        <w:pStyle w:val="berschrift1"/>
        <w:rPr>
          <w:rFonts w:cs="Arial"/>
        </w:rPr>
      </w:pPr>
      <w:r w:rsidRPr="00DD4FE5">
        <w:rPr>
          <w:rFonts w:cs="Arial"/>
        </w:rPr>
        <w:t>1</w:t>
      </w:r>
      <w:r w:rsidR="00884D6C" w:rsidRPr="00DD4FE5">
        <w:rPr>
          <w:rFonts w:cs="Arial"/>
        </w:rPr>
        <w:tab/>
      </w:r>
      <w:r w:rsidR="003D7B0B" w:rsidRPr="00DD4FE5">
        <w:rPr>
          <w:rFonts w:cs="Arial"/>
        </w:rPr>
        <w:t>Antra</w:t>
      </w:r>
      <w:r w:rsidR="003D7B0B" w:rsidRPr="00DD4FE5">
        <w:rPr>
          <w:rFonts w:cs="Arial"/>
          <w:u w:val="none"/>
        </w:rPr>
        <w:t>g</w:t>
      </w:r>
      <w:r w:rsidR="003D7B0B" w:rsidRPr="00DD4FE5">
        <w:rPr>
          <w:rFonts w:cs="Arial"/>
        </w:rPr>
        <w:t>, Stellenausstattun</w:t>
      </w:r>
      <w:r w:rsidR="003D7B0B" w:rsidRPr="00DD4FE5">
        <w:rPr>
          <w:rFonts w:cs="Arial"/>
          <w:u w:val="none"/>
        </w:rPr>
        <w:t>g</w:t>
      </w:r>
      <w:r w:rsidR="004221B0">
        <w:rPr>
          <w:rFonts w:cs="Arial"/>
          <w:u w:val="none"/>
        </w:rPr>
        <w:t xml:space="preserve"> </w:t>
      </w:r>
    </w:p>
    <w:p w14:paraId="62EDAA77" w14:textId="77777777" w:rsidR="00F45D3D" w:rsidRDefault="00F45D3D" w:rsidP="007D0B85">
      <w:pPr>
        <w:rPr>
          <w:rFonts w:cs="Arial"/>
        </w:rPr>
      </w:pPr>
    </w:p>
    <w:p w14:paraId="15196EE1" w14:textId="7F363A92" w:rsidR="00BC5926" w:rsidRDefault="000856C4" w:rsidP="000856C4">
      <w:pPr>
        <w:rPr>
          <w:rFonts w:cs="Arial"/>
        </w:rPr>
      </w:pPr>
      <w:r>
        <w:t>Geschaffen werden 2</w:t>
      </w:r>
      <w:r w:rsidRPr="000856C4">
        <w:t>,0 Stelle</w:t>
      </w:r>
      <w:r>
        <w:t xml:space="preserve">n </w:t>
      </w:r>
      <w:r w:rsidRPr="009753D8">
        <w:rPr>
          <w:rFonts w:cs="Arial"/>
        </w:rPr>
        <w:t>in der Abteilung Geoinformation und Kartografie im Sachgebiet GeoIT Administration und Betreuung</w:t>
      </w:r>
      <w:r w:rsidR="00BC5926">
        <w:rPr>
          <w:rFonts w:cs="Arial"/>
        </w:rPr>
        <w:t xml:space="preserve"> beim Stadtmessungsamt:</w:t>
      </w:r>
    </w:p>
    <w:p w14:paraId="00CEC207" w14:textId="77777777" w:rsidR="00BC5926" w:rsidRDefault="00BC5926" w:rsidP="000856C4">
      <w:pPr>
        <w:rPr>
          <w:rFonts w:cs="Arial"/>
        </w:rPr>
      </w:pPr>
    </w:p>
    <w:p w14:paraId="63AF1C40" w14:textId="5E204011" w:rsidR="00BC5926" w:rsidRPr="009753D8" w:rsidRDefault="00BC5926" w:rsidP="00BC5926">
      <w:pPr>
        <w:pStyle w:val="Listenabsatz"/>
        <w:numPr>
          <w:ilvl w:val="0"/>
          <w:numId w:val="13"/>
        </w:numPr>
        <w:rPr>
          <w:rFonts w:cs="Arial"/>
        </w:rPr>
      </w:pPr>
      <w:r w:rsidRPr="009753D8">
        <w:rPr>
          <w:rFonts w:cs="Arial"/>
        </w:rPr>
        <w:t>1</w:t>
      </w:r>
      <w:r>
        <w:rPr>
          <w:rFonts w:cs="Arial"/>
        </w:rPr>
        <w:t>,0</w:t>
      </w:r>
      <w:r w:rsidRPr="009753D8">
        <w:rPr>
          <w:rFonts w:cs="Arial"/>
        </w:rPr>
        <w:t xml:space="preserve"> Stelle GeoIT</w:t>
      </w:r>
      <w:r>
        <w:rPr>
          <w:rFonts w:cs="Arial"/>
        </w:rPr>
        <w:t xml:space="preserve"> System Manager</w:t>
      </w:r>
      <w:r w:rsidR="005E0E2C">
        <w:rPr>
          <w:rFonts w:cs="Arial"/>
        </w:rPr>
        <w:t>/-in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in</w:t>
      </w:r>
      <w:proofErr w:type="spellEnd"/>
      <w:r>
        <w:rPr>
          <w:rFonts w:cs="Arial"/>
        </w:rPr>
        <w:t xml:space="preserve"> EG</w:t>
      </w:r>
      <w:r w:rsidR="005E0E2C">
        <w:rPr>
          <w:rFonts w:cs="Arial"/>
        </w:rPr>
        <w:t xml:space="preserve"> </w:t>
      </w:r>
      <w:r w:rsidR="00E518D6">
        <w:rPr>
          <w:rFonts w:cs="Arial"/>
        </w:rPr>
        <w:t>11</w:t>
      </w:r>
      <w:r w:rsidRPr="009753D8">
        <w:rPr>
          <w:rFonts w:cs="Arial"/>
        </w:rPr>
        <w:t xml:space="preserve"> für die übergreifende Administration der (Enterprise</w:t>
      </w:r>
      <w:r>
        <w:rPr>
          <w:rFonts w:cs="Arial"/>
        </w:rPr>
        <w:t>-</w:t>
      </w:r>
      <w:r w:rsidRPr="009753D8">
        <w:rPr>
          <w:rFonts w:cs="Arial"/>
        </w:rPr>
        <w:t xml:space="preserve">) Architektur Geodateninfrastruktur (GDI) Stuttgart </w:t>
      </w:r>
    </w:p>
    <w:p w14:paraId="60F90D6E" w14:textId="6578EA58" w:rsidR="009578C8" w:rsidRPr="001B50B3" w:rsidRDefault="00BC5926" w:rsidP="00181CFA">
      <w:pPr>
        <w:pStyle w:val="Listenabsatz"/>
        <w:numPr>
          <w:ilvl w:val="0"/>
          <w:numId w:val="13"/>
        </w:numPr>
        <w:spacing w:after="120"/>
        <w:rPr>
          <w:rFonts w:cs="Arial"/>
        </w:rPr>
      </w:pPr>
      <w:r w:rsidRPr="001B50B3">
        <w:rPr>
          <w:rFonts w:cs="Arial"/>
        </w:rPr>
        <w:t>1,0 Stelle Geomatiker</w:t>
      </w:r>
      <w:r w:rsidR="005E0E2C">
        <w:rPr>
          <w:rFonts w:cs="Arial"/>
        </w:rPr>
        <w:t>/-in</w:t>
      </w:r>
      <w:r w:rsidRPr="001B50B3">
        <w:rPr>
          <w:rFonts w:cs="Arial"/>
        </w:rPr>
        <w:t xml:space="preserve"> </w:t>
      </w:r>
      <w:proofErr w:type="spellStart"/>
      <w:r w:rsidRPr="001B50B3">
        <w:rPr>
          <w:rFonts w:cs="Arial"/>
        </w:rPr>
        <w:t>in</w:t>
      </w:r>
      <w:proofErr w:type="spellEnd"/>
      <w:r w:rsidRPr="001B50B3">
        <w:rPr>
          <w:rFonts w:cs="Arial"/>
        </w:rPr>
        <w:t xml:space="preserve"> EG 9a für die Unterstützung der Systemadministration und des Datenmanagements</w:t>
      </w:r>
    </w:p>
    <w:p w14:paraId="41592EA1" w14:textId="77777777" w:rsidR="003D7B0B" w:rsidRPr="00DD4FE5" w:rsidRDefault="003D7B0B" w:rsidP="00884D6C">
      <w:pPr>
        <w:pStyle w:val="berschrift1"/>
        <w:rPr>
          <w:rFonts w:cs="Arial"/>
        </w:rPr>
      </w:pPr>
      <w:r w:rsidRPr="00DD4FE5">
        <w:rPr>
          <w:rFonts w:cs="Arial"/>
        </w:rPr>
        <w:t>2</w:t>
      </w:r>
      <w:r w:rsidRPr="00DD4FE5">
        <w:rPr>
          <w:rFonts w:cs="Arial"/>
        </w:rPr>
        <w:tab/>
        <w:t>Schaffun</w:t>
      </w:r>
      <w:r w:rsidRPr="00DD4FE5">
        <w:rPr>
          <w:rFonts w:cs="Arial"/>
          <w:u w:val="none"/>
        </w:rPr>
        <w:t>g</w:t>
      </w:r>
      <w:r w:rsidRPr="00DD4FE5">
        <w:rPr>
          <w:rFonts w:cs="Arial"/>
        </w:rPr>
        <w:t>skriterien</w:t>
      </w:r>
    </w:p>
    <w:p w14:paraId="155E9BE0" w14:textId="77777777" w:rsidR="003D7B0B" w:rsidRPr="00DD4FE5" w:rsidRDefault="003D7B0B" w:rsidP="00884D6C">
      <w:pPr>
        <w:rPr>
          <w:rFonts w:cs="Arial"/>
        </w:rPr>
      </w:pPr>
    </w:p>
    <w:p w14:paraId="6C719BD2" w14:textId="70BECEE9" w:rsidR="00D532B4" w:rsidRDefault="00BC5926" w:rsidP="005F3BFE">
      <w:pPr>
        <w:rPr>
          <w:rFonts w:cs="Arial"/>
        </w:rPr>
      </w:pPr>
      <w:r w:rsidRPr="00BC5926">
        <w:rPr>
          <w:szCs w:val="20"/>
        </w:rPr>
        <w:t>Die Schaffung der Stelle</w:t>
      </w:r>
      <w:r>
        <w:rPr>
          <w:szCs w:val="20"/>
        </w:rPr>
        <w:t>n</w:t>
      </w:r>
      <w:r w:rsidRPr="00BC5926">
        <w:rPr>
          <w:szCs w:val="20"/>
        </w:rPr>
        <w:t xml:space="preserve"> ist in der „Grünen</w:t>
      </w:r>
      <w:r>
        <w:rPr>
          <w:szCs w:val="20"/>
        </w:rPr>
        <w:t xml:space="preserve"> Liste“ für den Haushalt 2022</w:t>
      </w:r>
      <w:r w:rsidRPr="00BC5926">
        <w:rPr>
          <w:szCs w:val="20"/>
        </w:rPr>
        <w:t xml:space="preserve"> enthalten und ist Teil des Gesamtkonzeptes „Digital MoveS“. Auf die GRDrs. </w:t>
      </w:r>
      <w:r>
        <w:rPr>
          <w:szCs w:val="20"/>
        </w:rPr>
        <w:t>81/2021</w:t>
      </w:r>
      <w:r w:rsidRPr="00BC5926">
        <w:rPr>
          <w:szCs w:val="20"/>
        </w:rPr>
        <w:t xml:space="preserve"> „Digital MoveS – </w:t>
      </w:r>
      <w:proofErr w:type="gramStart"/>
      <w:r w:rsidRPr="00BC5926">
        <w:rPr>
          <w:szCs w:val="20"/>
        </w:rPr>
        <w:t>Stuttgart.Gestaltet.Zukunft</w:t>
      </w:r>
      <w:proofErr w:type="gramEnd"/>
      <w:r w:rsidRPr="00BC5926">
        <w:rPr>
          <w:szCs w:val="20"/>
        </w:rPr>
        <w:t xml:space="preserve">: </w:t>
      </w:r>
      <w:r>
        <w:rPr>
          <w:szCs w:val="20"/>
        </w:rPr>
        <w:t>Umsetzung und weitere Planungen innerhalb der Strategie für eine digitale Stadtverwaltung</w:t>
      </w:r>
      <w:r w:rsidRPr="00BC5926">
        <w:rPr>
          <w:szCs w:val="20"/>
        </w:rPr>
        <w:t>“ wird verwiesen.</w:t>
      </w:r>
    </w:p>
    <w:p w14:paraId="53422308" w14:textId="77777777" w:rsidR="003D7B0B" w:rsidRPr="00DD4FE5" w:rsidRDefault="003D7B0B" w:rsidP="00884D6C">
      <w:pPr>
        <w:pStyle w:val="berschrift1"/>
        <w:rPr>
          <w:rFonts w:cs="Arial"/>
        </w:rPr>
      </w:pPr>
      <w:r w:rsidRPr="00DD4FE5">
        <w:rPr>
          <w:rFonts w:cs="Arial"/>
        </w:rPr>
        <w:t>3</w:t>
      </w:r>
      <w:r w:rsidRPr="00DD4FE5">
        <w:rPr>
          <w:rFonts w:cs="Arial"/>
        </w:rPr>
        <w:tab/>
        <w:t>Bedarf</w:t>
      </w:r>
    </w:p>
    <w:p w14:paraId="2B46CB77" w14:textId="77777777" w:rsidR="003D7B0B" w:rsidRPr="00DD4FE5" w:rsidRDefault="00884D6C" w:rsidP="00884D6C">
      <w:pPr>
        <w:pStyle w:val="berschrift2"/>
        <w:rPr>
          <w:rFonts w:cs="Arial"/>
        </w:rPr>
      </w:pPr>
      <w:r w:rsidRPr="00DD4FE5">
        <w:rPr>
          <w:rFonts w:cs="Arial"/>
        </w:rPr>
        <w:t>3.1</w:t>
      </w:r>
      <w:r w:rsidRPr="00DD4FE5">
        <w:rPr>
          <w:rFonts w:cs="Arial"/>
        </w:rPr>
        <w:tab/>
      </w:r>
      <w:r w:rsidR="006E0575" w:rsidRPr="00DD4FE5">
        <w:rPr>
          <w:rFonts w:cs="Arial"/>
        </w:rPr>
        <w:t>Anlass</w:t>
      </w:r>
    </w:p>
    <w:p w14:paraId="55F85ABD" w14:textId="77777777" w:rsidR="003D7B0B" w:rsidRPr="00DD4FE5" w:rsidRDefault="003D7B0B" w:rsidP="00884D6C">
      <w:pPr>
        <w:rPr>
          <w:rFonts w:cs="Arial"/>
        </w:rPr>
      </w:pPr>
    </w:p>
    <w:p w14:paraId="4C279E56" w14:textId="2C0C1296" w:rsidR="004908B9" w:rsidRPr="00DD4FE5" w:rsidRDefault="004908B9" w:rsidP="004908B9">
      <w:pPr>
        <w:rPr>
          <w:rFonts w:cs="Arial"/>
        </w:rPr>
      </w:pPr>
      <w:r w:rsidRPr="00DD4FE5">
        <w:rPr>
          <w:rFonts w:cs="Arial"/>
        </w:rPr>
        <w:t xml:space="preserve">Das Angebot an Daten, Basissystemen und darauf aufbauenden Fachanwendungen und die Nutzung der Systeme und Anwendungen nimmt seit Jahren </w:t>
      </w:r>
      <w:r>
        <w:rPr>
          <w:rFonts w:cs="Arial"/>
        </w:rPr>
        <w:t>stetig</w:t>
      </w:r>
      <w:r w:rsidRPr="00DD4FE5">
        <w:rPr>
          <w:rFonts w:cs="Arial"/>
        </w:rPr>
        <w:t xml:space="preserve"> zu. Diese Entwicklung wird sich </w:t>
      </w:r>
      <w:r>
        <w:rPr>
          <w:rFonts w:cs="Arial"/>
        </w:rPr>
        <w:t>infolge</w:t>
      </w:r>
      <w:r w:rsidRPr="00DD4FE5">
        <w:rPr>
          <w:rFonts w:cs="Arial"/>
        </w:rPr>
        <w:t xml:space="preserve"> der Digitalisierung in unserer Gesellschaft und im Zuge der Entwicklung einer digitalen Strategie für Stuttgart </w:t>
      </w:r>
      <w:r>
        <w:rPr>
          <w:rFonts w:cs="Arial"/>
        </w:rPr>
        <w:t xml:space="preserve">bzw. von </w:t>
      </w:r>
      <w:r w:rsidRPr="0010576B">
        <w:rPr>
          <w:rFonts w:cs="Arial"/>
        </w:rPr>
        <w:t>Digital MoveS</w:t>
      </w:r>
      <w:r w:rsidRPr="00DD4FE5">
        <w:rPr>
          <w:rFonts w:cs="Arial"/>
        </w:rPr>
        <w:t xml:space="preserve"> weiter fortsetzen und verstärken. </w:t>
      </w:r>
      <w:r w:rsidRPr="00DD4FE5">
        <w:rPr>
          <w:rFonts w:cs="Arial"/>
          <w:color w:val="000000"/>
        </w:rPr>
        <w:t xml:space="preserve">Die Sicherung des Betriebs der stadtweit bereitgestellten Geoinformationssysteme ist daher eine vordringliche Aufgabe. </w:t>
      </w:r>
      <w:r w:rsidRPr="00DD4FE5">
        <w:rPr>
          <w:rFonts w:cs="Arial"/>
        </w:rPr>
        <w:t xml:space="preserve">Durch </w:t>
      </w:r>
      <w:r>
        <w:rPr>
          <w:rFonts w:cs="Arial"/>
        </w:rPr>
        <w:t xml:space="preserve">die </w:t>
      </w:r>
      <w:r w:rsidRPr="00DD4FE5">
        <w:rPr>
          <w:rFonts w:cs="Arial"/>
        </w:rPr>
        <w:t>steigende Komplexität</w:t>
      </w:r>
      <w:r>
        <w:rPr>
          <w:rFonts w:cs="Arial"/>
        </w:rPr>
        <w:t xml:space="preserve"> der GDI-Architektur</w:t>
      </w:r>
      <w:r w:rsidRPr="00DD4FE5">
        <w:rPr>
          <w:rFonts w:cs="Arial"/>
        </w:rPr>
        <w:t xml:space="preserve">, </w:t>
      </w:r>
      <w:r>
        <w:rPr>
          <w:rFonts w:cs="Arial"/>
        </w:rPr>
        <w:t xml:space="preserve">die rasant </w:t>
      </w:r>
      <w:r w:rsidRPr="00DD4FE5">
        <w:rPr>
          <w:rFonts w:cs="Arial"/>
        </w:rPr>
        <w:t>steigen</w:t>
      </w:r>
      <w:r>
        <w:rPr>
          <w:rFonts w:cs="Arial"/>
        </w:rPr>
        <w:t>d</w:t>
      </w:r>
      <w:r w:rsidRPr="00DD4FE5">
        <w:rPr>
          <w:rFonts w:cs="Arial"/>
        </w:rPr>
        <w:t>e</w:t>
      </w:r>
      <w:r>
        <w:rPr>
          <w:rFonts w:cs="Arial"/>
        </w:rPr>
        <w:t>n</w:t>
      </w:r>
      <w:r w:rsidRPr="00DD4FE5">
        <w:rPr>
          <w:rFonts w:cs="Arial"/>
        </w:rPr>
        <w:t xml:space="preserve"> Zugriffzahlen, </w:t>
      </w:r>
      <w:r>
        <w:rPr>
          <w:rFonts w:cs="Arial"/>
        </w:rPr>
        <w:t xml:space="preserve">die </w:t>
      </w:r>
      <w:r w:rsidRPr="00DD4FE5">
        <w:rPr>
          <w:rFonts w:cs="Arial"/>
        </w:rPr>
        <w:t xml:space="preserve">steigende Anzahl an GIS-Basissystemen und </w:t>
      </w:r>
      <w:r>
        <w:rPr>
          <w:rFonts w:cs="Arial"/>
        </w:rPr>
        <w:t xml:space="preserve">die ebenfalls dynamisch wachsende Zahl der </w:t>
      </w:r>
      <w:r w:rsidRPr="00DD4FE5">
        <w:rPr>
          <w:rFonts w:cs="Arial"/>
        </w:rPr>
        <w:t>GIS-</w:t>
      </w:r>
      <w:r w:rsidRPr="00DD4FE5">
        <w:rPr>
          <w:rFonts w:cs="Arial"/>
        </w:rPr>
        <w:lastRenderedPageBreak/>
        <w:t xml:space="preserve">Fachanwendungen </w:t>
      </w:r>
      <w:r>
        <w:rPr>
          <w:rFonts w:cs="Arial"/>
        </w:rPr>
        <w:t>sowie der Fachverfahren der Ämter ent</w:t>
      </w:r>
      <w:r w:rsidRPr="00DD4FE5">
        <w:rPr>
          <w:rFonts w:cs="Arial"/>
        </w:rPr>
        <w:t xml:space="preserve">steht </w:t>
      </w:r>
      <w:r>
        <w:rPr>
          <w:rFonts w:cs="Arial"/>
        </w:rPr>
        <w:t xml:space="preserve">ein </w:t>
      </w:r>
      <w:r w:rsidRPr="00DD4FE5">
        <w:rPr>
          <w:rFonts w:cs="Arial"/>
        </w:rPr>
        <w:t xml:space="preserve">zusätzlicher Aufwand </w:t>
      </w:r>
      <w:r>
        <w:rPr>
          <w:rFonts w:cs="Arial"/>
        </w:rPr>
        <w:t xml:space="preserve">in der Administration der </w:t>
      </w:r>
      <w:r w:rsidRPr="00191328">
        <w:rPr>
          <w:rFonts w:cs="Arial"/>
        </w:rPr>
        <w:t xml:space="preserve">Systeme bzw. der Gesamtarchitektur. Im Bereich GeoIT Administration und Betreuung sind </w:t>
      </w:r>
      <w:r w:rsidRPr="002D14CE">
        <w:rPr>
          <w:rFonts w:cs="Arial"/>
        </w:rPr>
        <w:t>derzeit 10 Stellen</w:t>
      </w:r>
      <w:r w:rsidRPr="00191328">
        <w:rPr>
          <w:rFonts w:cs="Arial"/>
        </w:rPr>
        <w:t xml:space="preserve"> angesiedelt.</w:t>
      </w:r>
    </w:p>
    <w:p w14:paraId="159D8B38" w14:textId="77777777" w:rsidR="003D7B0B" w:rsidRPr="00DD4FE5" w:rsidRDefault="003D7B0B" w:rsidP="00165C0D">
      <w:pPr>
        <w:pStyle w:val="berschrift2"/>
        <w:rPr>
          <w:rFonts w:cs="Arial"/>
        </w:rPr>
      </w:pPr>
      <w:r w:rsidRPr="00DD4FE5">
        <w:rPr>
          <w:rFonts w:cs="Arial"/>
        </w:rPr>
        <w:t>3.2</w:t>
      </w:r>
      <w:r w:rsidRPr="00DD4FE5">
        <w:rPr>
          <w:rFonts w:cs="Arial"/>
        </w:rPr>
        <w:tab/>
        <w:t>Bisherige Aufgabenwahrnehmung</w:t>
      </w:r>
    </w:p>
    <w:p w14:paraId="57F29DA3" w14:textId="77777777" w:rsidR="006B2BA8" w:rsidRPr="00DD4FE5" w:rsidRDefault="006B2BA8" w:rsidP="00884D6C">
      <w:pPr>
        <w:rPr>
          <w:rFonts w:cs="Arial"/>
        </w:rPr>
      </w:pPr>
    </w:p>
    <w:p w14:paraId="11965C32" w14:textId="70F45E20" w:rsidR="00C459D0" w:rsidRPr="00CB40CD" w:rsidRDefault="00763FDF" w:rsidP="00C459D0">
      <w:pPr>
        <w:jc w:val="both"/>
        <w:rPr>
          <w:rFonts w:cs="Arial"/>
        </w:rPr>
      </w:pPr>
      <w:r w:rsidRPr="00DD4FE5">
        <w:rPr>
          <w:rFonts w:cs="Arial"/>
        </w:rPr>
        <w:t xml:space="preserve">Mit der bestehenden GDI stellt das Stadtmessungsamt </w:t>
      </w:r>
      <w:r w:rsidR="00C14D8D">
        <w:rPr>
          <w:rFonts w:cs="Arial"/>
        </w:rPr>
        <w:t>bereits</w:t>
      </w:r>
      <w:r w:rsidR="00C14D8D" w:rsidRPr="00DD4FE5">
        <w:rPr>
          <w:rFonts w:cs="Arial"/>
        </w:rPr>
        <w:t xml:space="preserve"> </w:t>
      </w:r>
      <w:r w:rsidRPr="00DD4FE5">
        <w:rPr>
          <w:rFonts w:cs="Arial"/>
        </w:rPr>
        <w:t>GIS-Basissystem</w:t>
      </w:r>
      <w:r w:rsidR="00C14D8D">
        <w:rPr>
          <w:rFonts w:cs="Arial"/>
        </w:rPr>
        <w:t>e für</w:t>
      </w:r>
      <w:r w:rsidRPr="00DD4FE5">
        <w:rPr>
          <w:rFonts w:cs="Arial"/>
        </w:rPr>
        <w:t xml:space="preserve"> </w:t>
      </w:r>
      <w:r w:rsidR="00C14D8D">
        <w:rPr>
          <w:rFonts w:cs="Arial"/>
        </w:rPr>
        <w:t>die</w:t>
      </w:r>
      <w:r w:rsidR="00C14D8D" w:rsidRPr="00DD4FE5">
        <w:rPr>
          <w:rFonts w:cs="Arial"/>
        </w:rPr>
        <w:t xml:space="preserve"> </w:t>
      </w:r>
      <w:r w:rsidRPr="00DD4FE5">
        <w:rPr>
          <w:rFonts w:cs="Arial"/>
        </w:rPr>
        <w:t>gesamte Stadtverwaltung und</w:t>
      </w:r>
      <w:r w:rsidR="00C459D0">
        <w:rPr>
          <w:rFonts w:cs="Arial"/>
        </w:rPr>
        <w:t xml:space="preserve"> </w:t>
      </w:r>
      <w:r w:rsidR="00C459D0">
        <w:t>auch für rund 70 externe Kunden bereit (</w:t>
      </w:r>
      <w:r w:rsidR="00C14D8D">
        <w:t xml:space="preserve">kostenpflichtiges Angebot, </w:t>
      </w:r>
      <w:r w:rsidR="00C459D0">
        <w:t>insbesondere</w:t>
      </w:r>
      <w:r w:rsidR="00C14D8D">
        <w:t xml:space="preserve"> für</w:t>
      </w:r>
      <w:r w:rsidR="00C459D0">
        <w:t xml:space="preserve"> Ingenieurbüros, Banken, Firmen und Töchter aus dem Konzern Stadt Stuttgart)</w:t>
      </w:r>
      <w:r w:rsidRPr="00DD4FE5">
        <w:rPr>
          <w:rFonts w:cs="Arial"/>
        </w:rPr>
        <w:t xml:space="preserve">. Neben der technischen Infrastruktur werden auch die formalen </w:t>
      </w:r>
      <w:r w:rsidRPr="00C459D0">
        <w:rPr>
          <w:rFonts w:cs="Arial"/>
        </w:rPr>
        <w:t>und organisatorischen Strukturen bereitgestellt</w:t>
      </w:r>
      <w:r w:rsidR="00C14D8D">
        <w:rPr>
          <w:rFonts w:cs="Arial"/>
        </w:rPr>
        <w:t xml:space="preserve">. </w:t>
      </w:r>
    </w:p>
    <w:p w14:paraId="567C7CB8" w14:textId="77777777" w:rsidR="009B7597" w:rsidRPr="00191328" w:rsidRDefault="009B7597" w:rsidP="00F328FF">
      <w:pPr>
        <w:jc w:val="both"/>
        <w:rPr>
          <w:rFonts w:cs="Arial"/>
        </w:rPr>
      </w:pPr>
    </w:p>
    <w:p w14:paraId="00C995E9" w14:textId="679C8461" w:rsidR="00F328FF" w:rsidRPr="00191328" w:rsidRDefault="00F328FF" w:rsidP="00F328FF">
      <w:pPr>
        <w:jc w:val="both"/>
        <w:rPr>
          <w:rFonts w:cs="Arial"/>
        </w:rPr>
      </w:pPr>
      <w:r w:rsidRPr="00191328">
        <w:rPr>
          <w:rFonts w:cs="Arial"/>
        </w:rPr>
        <w:t xml:space="preserve">Für die Bewältigung der wachsenden Aufgaben und der zunehmenden Komplexität wurden Controlling- und Managementansätze eingeführt und die </w:t>
      </w:r>
      <w:r w:rsidRPr="004908B9">
        <w:rPr>
          <w:rFonts w:cs="Arial"/>
        </w:rPr>
        <w:t>Automatisierung</w:t>
      </w:r>
      <w:r w:rsidRPr="00191328">
        <w:rPr>
          <w:rFonts w:cs="Arial"/>
        </w:rPr>
        <w:t xml:space="preserve"> stark vorangetrieben. Technische Hilfsmittel wie Bugtracking-Systeme, Kollaborations-Systeme und ein Monitoring-System wurden zusätzlich eingeführt. Die Einführung und der Betri</w:t>
      </w:r>
      <w:r w:rsidR="00A30D33">
        <w:rPr>
          <w:rFonts w:cs="Arial"/>
        </w:rPr>
        <w:t>e</w:t>
      </w:r>
      <w:r w:rsidRPr="00191328">
        <w:rPr>
          <w:rFonts w:cs="Arial"/>
        </w:rPr>
        <w:t xml:space="preserve">b dieser Ansätze ist jedoch auch mit personellem und finanziellem Aufwand verbunden. Der zusätzliche Aufwand ist daher nicht mit dem vorhandenen Personal zu </w:t>
      </w:r>
      <w:r w:rsidR="00C14D8D" w:rsidRPr="00191328">
        <w:rPr>
          <w:rFonts w:cs="Arial"/>
        </w:rPr>
        <w:t>leisten</w:t>
      </w:r>
      <w:r w:rsidRPr="00191328">
        <w:rPr>
          <w:rFonts w:cs="Arial"/>
        </w:rPr>
        <w:t xml:space="preserve">. </w:t>
      </w:r>
    </w:p>
    <w:p w14:paraId="447E24B1" w14:textId="77777777" w:rsidR="003D7B0B" w:rsidRPr="00DD4FE5" w:rsidRDefault="006E0575" w:rsidP="00884D6C">
      <w:pPr>
        <w:pStyle w:val="berschrift2"/>
        <w:rPr>
          <w:rFonts w:cs="Arial"/>
        </w:rPr>
      </w:pPr>
      <w:r w:rsidRPr="00DD4FE5">
        <w:rPr>
          <w:rFonts w:cs="Arial"/>
        </w:rPr>
        <w:t>3.3</w:t>
      </w:r>
      <w:r w:rsidR="003D7B0B" w:rsidRPr="00DD4FE5">
        <w:rPr>
          <w:rFonts w:cs="Arial"/>
        </w:rPr>
        <w:tab/>
        <w:t>Auswirkungen bei Ablehnung der Stellenschaffungen</w:t>
      </w:r>
    </w:p>
    <w:p w14:paraId="365269F3" w14:textId="77777777" w:rsidR="003D7B0B" w:rsidRPr="00DD4FE5" w:rsidRDefault="003D7B0B" w:rsidP="00884D6C">
      <w:pPr>
        <w:rPr>
          <w:rFonts w:cs="Arial"/>
        </w:rPr>
      </w:pPr>
    </w:p>
    <w:p w14:paraId="247D5CB6" w14:textId="028F87BC" w:rsidR="00F328FF" w:rsidRPr="009F4792" w:rsidRDefault="007D0B85" w:rsidP="004908B9">
      <w:pPr>
        <w:contextualSpacing/>
        <w:rPr>
          <w:rFonts w:cs="Arial"/>
        </w:rPr>
      </w:pPr>
      <w:r w:rsidRPr="009F4792">
        <w:rPr>
          <w:rFonts w:cs="Arial"/>
        </w:rPr>
        <w:t>Wenn die Schaffung der zusätzliche</w:t>
      </w:r>
      <w:r w:rsidR="0073674F" w:rsidRPr="009F4792">
        <w:rPr>
          <w:rFonts w:cs="Arial"/>
        </w:rPr>
        <w:t>n</w:t>
      </w:r>
      <w:r w:rsidRPr="009F4792">
        <w:rPr>
          <w:rFonts w:cs="Arial"/>
        </w:rPr>
        <w:t xml:space="preserve"> Stelle</w:t>
      </w:r>
      <w:r w:rsidR="004908B9" w:rsidRPr="009F4792">
        <w:rPr>
          <w:rFonts w:cs="Arial"/>
        </w:rPr>
        <w:t>n</w:t>
      </w:r>
      <w:r w:rsidRPr="009F4792">
        <w:rPr>
          <w:rFonts w:cs="Arial"/>
        </w:rPr>
        <w:t xml:space="preserve"> nicht erfolgt, ist der stabile, sichere, durchgängige und performante Betrieb der Systeme und Fachanwendungen nicht mehr </w:t>
      </w:r>
      <w:r w:rsidR="00C14D8D" w:rsidRPr="009F4792">
        <w:rPr>
          <w:rFonts w:cs="Arial"/>
        </w:rPr>
        <w:t>in vollem Umfang</w:t>
      </w:r>
      <w:r w:rsidRPr="009F4792">
        <w:rPr>
          <w:rFonts w:cs="Arial"/>
        </w:rPr>
        <w:t xml:space="preserve"> zu gewährleisten. </w:t>
      </w:r>
      <w:r w:rsidR="00F04D09" w:rsidRPr="009F4792">
        <w:rPr>
          <w:rFonts w:cs="Arial"/>
        </w:rPr>
        <w:t>Eine Unterstützung bei der</w:t>
      </w:r>
      <w:r w:rsidRPr="009F4792">
        <w:rPr>
          <w:rFonts w:cs="Arial"/>
        </w:rPr>
        <w:t xml:space="preserve"> weitere</w:t>
      </w:r>
      <w:r w:rsidR="00F04D09" w:rsidRPr="009F4792">
        <w:rPr>
          <w:rFonts w:cs="Arial"/>
        </w:rPr>
        <w:t>n</w:t>
      </w:r>
      <w:r w:rsidRPr="009F4792">
        <w:rPr>
          <w:rFonts w:cs="Arial"/>
        </w:rPr>
        <w:t xml:space="preserve"> Digitalisierung in der Stadtverwaltung </w:t>
      </w:r>
      <w:r w:rsidR="006B2BA8" w:rsidRPr="009F4792">
        <w:rPr>
          <w:rFonts w:cs="Arial"/>
        </w:rPr>
        <w:t xml:space="preserve">ist </w:t>
      </w:r>
      <w:r w:rsidR="00A63772" w:rsidRPr="009F4792">
        <w:rPr>
          <w:rFonts w:cs="Arial"/>
        </w:rPr>
        <w:t xml:space="preserve">nur noch sehr eingeschränkt </w:t>
      </w:r>
      <w:r w:rsidR="00F04D09" w:rsidRPr="009F4792">
        <w:rPr>
          <w:rFonts w:cs="Arial"/>
        </w:rPr>
        <w:t>möglich</w:t>
      </w:r>
      <w:r w:rsidRPr="009F4792">
        <w:rPr>
          <w:rFonts w:cs="Arial"/>
        </w:rPr>
        <w:t xml:space="preserve">. </w:t>
      </w:r>
    </w:p>
    <w:p w14:paraId="0F3213C0" w14:textId="77777777" w:rsidR="003D7B0B" w:rsidRPr="00DD4FE5" w:rsidRDefault="00884D6C" w:rsidP="00884D6C">
      <w:pPr>
        <w:pStyle w:val="berschrift1"/>
        <w:rPr>
          <w:rFonts w:cs="Arial"/>
        </w:rPr>
      </w:pPr>
      <w:r w:rsidRPr="00DD4FE5">
        <w:rPr>
          <w:rFonts w:cs="Arial"/>
        </w:rPr>
        <w:t>4</w:t>
      </w:r>
      <w:r w:rsidRPr="00DD4FE5">
        <w:rPr>
          <w:rFonts w:cs="Arial"/>
        </w:rPr>
        <w:tab/>
      </w:r>
      <w:r w:rsidR="003D7B0B" w:rsidRPr="00DD4FE5">
        <w:rPr>
          <w:rFonts w:cs="Arial"/>
        </w:rPr>
        <w:t>Stellenvermerke</w:t>
      </w:r>
    </w:p>
    <w:p w14:paraId="0F2C756F" w14:textId="77777777" w:rsidR="003D7B0B" w:rsidRPr="00DD4FE5" w:rsidRDefault="003D7B0B" w:rsidP="00884D6C">
      <w:pPr>
        <w:rPr>
          <w:rFonts w:cs="Arial"/>
        </w:rPr>
      </w:pPr>
    </w:p>
    <w:p w14:paraId="37A1DE25" w14:textId="5BEE3C79" w:rsidR="00B457E0" w:rsidRPr="00DD4FE5" w:rsidRDefault="004908B9" w:rsidP="00884D6C">
      <w:pPr>
        <w:rPr>
          <w:rFonts w:cs="Arial"/>
        </w:rPr>
      </w:pPr>
      <w:r>
        <w:rPr>
          <w:rFonts w:cs="Arial"/>
        </w:rPr>
        <w:t>-</w:t>
      </w:r>
    </w:p>
    <w:sectPr w:rsidR="00B457E0" w:rsidRPr="00DD4FE5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EDF08" w14:textId="77777777" w:rsidR="00953652" w:rsidRDefault="00953652">
      <w:r>
        <w:separator/>
      </w:r>
    </w:p>
  </w:endnote>
  <w:endnote w:type="continuationSeparator" w:id="0">
    <w:p w14:paraId="23D39551" w14:textId="77777777" w:rsidR="00953652" w:rsidRDefault="0095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6F530" w14:textId="77777777" w:rsidR="00953652" w:rsidRDefault="00953652">
      <w:r>
        <w:separator/>
      </w:r>
    </w:p>
  </w:footnote>
  <w:footnote w:type="continuationSeparator" w:id="0">
    <w:p w14:paraId="59295A25" w14:textId="77777777" w:rsidR="00953652" w:rsidRDefault="0095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E7973" w14:textId="02B099DB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E518D6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4B65EAB2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C77E6"/>
    <w:multiLevelType w:val="hybridMultilevel"/>
    <w:tmpl w:val="27DA4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065"/>
    <w:multiLevelType w:val="hybridMultilevel"/>
    <w:tmpl w:val="5FF80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4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209076E7"/>
    <w:multiLevelType w:val="hybridMultilevel"/>
    <w:tmpl w:val="784ED7D4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0110A41"/>
    <w:multiLevelType w:val="hybridMultilevel"/>
    <w:tmpl w:val="22E04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46D40862"/>
    <w:multiLevelType w:val="hybridMultilevel"/>
    <w:tmpl w:val="8250B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426FA"/>
    <w:multiLevelType w:val="hybridMultilevel"/>
    <w:tmpl w:val="25A8E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90AC6"/>
    <w:multiLevelType w:val="hybridMultilevel"/>
    <w:tmpl w:val="F740D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E74D4"/>
    <w:multiLevelType w:val="hybridMultilevel"/>
    <w:tmpl w:val="8EF00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3" w15:restartNumberingAfterBreak="0">
    <w:nsid w:val="777461AA"/>
    <w:multiLevelType w:val="hybridMultilevel"/>
    <w:tmpl w:val="E64CA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2CB4"/>
    <w:multiLevelType w:val="hybridMultilevel"/>
    <w:tmpl w:val="3E9C5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7"/>
  </w:num>
  <w:num w:numId="5">
    <w:abstractNumId w:val="12"/>
  </w:num>
  <w:num w:numId="6">
    <w:abstractNumId w:val="11"/>
  </w:num>
  <w:num w:numId="7">
    <w:abstractNumId w:val="13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52"/>
    <w:rsid w:val="00000408"/>
    <w:rsid w:val="00055758"/>
    <w:rsid w:val="00083158"/>
    <w:rsid w:val="00083D47"/>
    <w:rsid w:val="000856C4"/>
    <w:rsid w:val="000A1146"/>
    <w:rsid w:val="000D1C93"/>
    <w:rsid w:val="000D2C87"/>
    <w:rsid w:val="0010124A"/>
    <w:rsid w:val="001034AF"/>
    <w:rsid w:val="0010576B"/>
    <w:rsid w:val="0011112B"/>
    <w:rsid w:val="0014415D"/>
    <w:rsid w:val="00151488"/>
    <w:rsid w:val="00163034"/>
    <w:rsid w:val="00164678"/>
    <w:rsid w:val="00165C0D"/>
    <w:rsid w:val="00181857"/>
    <w:rsid w:val="00184EDC"/>
    <w:rsid w:val="00191328"/>
    <w:rsid w:val="00194770"/>
    <w:rsid w:val="001A5F9B"/>
    <w:rsid w:val="001B50B3"/>
    <w:rsid w:val="001D0FCF"/>
    <w:rsid w:val="001F0AE2"/>
    <w:rsid w:val="001F7237"/>
    <w:rsid w:val="00214440"/>
    <w:rsid w:val="00224E0C"/>
    <w:rsid w:val="002765C9"/>
    <w:rsid w:val="002924CB"/>
    <w:rsid w:val="002A20D1"/>
    <w:rsid w:val="002A4DE3"/>
    <w:rsid w:val="002B5955"/>
    <w:rsid w:val="002D14CE"/>
    <w:rsid w:val="002E1DB4"/>
    <w:rsid w:val="0030686C"/>
    <w:rsid w:val="0031763A"/>
    <w:rsid w:val="00380937"/>
    <w:rsid w:val="00397717"/>
    <w:rsid w:val="003A5084"/>
    <w:rsid w:val="003A6C59"/>
    <w:rsid w:val="003C3D2B"/>
    <w:rsid w:val="003D5ECC"/>
    <w:rsid w:val="003D7B0B"/>
    <w:rsid w:val="003F0FAA"/>
    <w:rsid w:val="004221B0"/>
    <w:rsid w:val="00426457"/>
    <w:rsid w:val="00464AF7"/>
    <w:rsid w:val="00470135"/>
    <w:rsid w:val="0047606A"/>
    <w:rsid w:val="004908B5"/>
    <w:rsid w:val="004908B9"/>
    <w:rsid w:val="0049121B"/>
    <w:rsid w:val="0049205F"/>
    <w:rsid w:val="004A1688"/>
    <w:rsid w:val="004B6796"/>
    <w:rsid w:val="004D5F8E"/>
    <w:rsid w:val="004E19DD"/>
    <w:rsid w:val="004F53B7"/>
    <w:rsid w:val="00507F0E"/>
    <w:rsid w:val="00556608"/>
    <w:rsid w:val="005659E0"/>
    <w:rsid w:val="00573905"/>
    <w:rsid w:val="005A0A9D"/>
    <w:rsid w:val="005A56AA"/>
    <w:rsid w:val="005C650A"/>
    <w:rsid w:val="005E0E2C"/>
    <w:rsid w:val="005E19C6"/>
    <w:rsid w:val="005F0E1D"/>
    <w:rsid w:val="005F3BFE"/>
    <w:rsid w:val="005F5B3D"/>
    <w:rsid w:val="005F613E"/>
    <w:rsid w:val="00606F80"/>
    <w:rsid w:val="006071F7"/>
    <w:rsid w:val="00615D8C"/>
    <w:rsid w:val="00622CC7"/>
    <w:rsid w:val="00625CF2"/>
    <w:rsid w:val="006A406B"/>
    <w:rsid w:val="006B2BA8"/>
    <w:rsid w:val="006B6D50"/>
    <w:rsid w:val="006C2715"/>
    <w:rsid w:val="006E0575"/>
    <w:rsid w:val="0072799A"/>
    <w:rsid w:val="0073674F"/>
    <w:rsid w:val="00740B52"/>
    <w:rsid w:val="00754659"/>
    <w:rsid w:val="00763FDF"/>
    <w:rsid w:val="00772D91"/>
    <w:rsid w:val="007B3DF0"/>
    <w:rsid w:val="007C54C7"/>
    <w:rsid w:val="007D0B85"/>
    <w:rsid w:val="007E3B79"/>
    <w:rsid w:val="007E4CE2"/>
    <w:rsid w:val="008066EE"/>
    <w:rsid w:val="00817BB6"/>
    <w:rsid w:val="0082623C"/>
    <w:rsid w:val="0083537A"/>
    <w:rsid w:val="00847976"/>
    <w:rsid w:val="00865DB7"/>
    <w:rsid w:val="00884D6C"/>
    <w:rsid w:val="008D0950"/>
    <w:rsid w:val="008F22FF"/>
    <w:rsid w:val="00920F00"/>
    <w:rsid w:val="009373F6"/>
    <w:rsid w:val="00953652"/>
    <w:rsid w:val="009578C8"/>
    <w:rsid w:val="00972F98"/>
    <w:rsid w:val="009753D8"/>
    <w:rsid w:val="00976588"/>
    <w:rsid w:val="00977483"/>
    <w:rsid w:val="009A2B9F"/>
    <w:rsid w:val="009B7597"/>
    <w:rsid w:val="009C2136"/>
    <w:rsid w:val="009D5149"/>
    <w:rsid w:val="009F4792"/>
    <w:rsid w:val="00A03261"/>
    <w:rsid w:val="00A15CD4"/>
    <w:rsid w:val="00A214D9"/>
    <w:rsid w:val="00A27A17"/>
    <w:rsid w:val="00A27CA7"/>
    <w:rsid w:val="00A30D33"/>
    <w:rsid w:val="00A32F0F"/>
    <w:rsid w:val="00A51845"/>
    <w:rsid w:val="00A62B2F"/>
    <w:rsid w:val="00A63772"/>
    <w:rsid w:val="00A66B75"/>
    <w:rsid w:val="00A71D0A"/>
    <w:rsid w:val="00A761FE"/>
    <w:rsid w:val="00A77F1E"/>
    <w:rsid w:val="00A847C4"/>
    <w:rsid w:val="00AB389D"/>
    <w:rsid w:val="00AC0E5C"/>
    <w:rsid w:val="00AE2C83"/>
    <w:rsid w:val="00AF0DEA"/>
    <w:rsid w:val="00AF25E0"/>
    <w:rsid w:val="00B04290"/>
    <w:rsid w:val="00B44F5D"/>
    <w:rsid w:val="00B457E0"/>
    <w:rsid w:val="00B47D35"/>
    <w:rsid w:val="00B80DEF"/>
    <w:rsid w:val="00B86BB5"/>
    <w:rsid w:val="00B91903"/>
    <w:rsid w:val="00BB3AEA"/>
    <w:rsid w:val="00BC4669"/>
    <w:rsid w:val="00BC5926"/>
    <w:rsid w:val="00BF692A"/>
    <w:rsid w:val="00C01AEF"/>
    <w:rsid w:val="00C0596F"/>
    <w:rsid w:val="00C107C1"/>
    <w:rsid w:val="00C14D8D"/>
    <w:rsid w:val="00C16EF1"/>
    <w:rsid w:val="00C448D3"/>
    <w:rsid w:val="00C459D0"/>
    <w:rsid w:val="00C602B3"/>
    <w:rsid w:val="00C75555"/>
    <w:rsid w:val="00C81CAB"/>
    <w:rsid w:val="00CB40CD"/>
    <w:rsid w:val="00CD70B9"/>
    <w:rsid w:val="00CF50D7"/>
    <w:rsid w:val="00CF62E5"/>
    <w:rsid w:val="00D532B4"/>
    <w:rsid w:val="00D66D3A"/>
    <w:rsid w:val="00D743D4"/>
    <w:rsid w:val="00DB3D6C"/>
    <w:rsid w:val="00DC3433"/>
    <w:rsid w:val="00DD4FE5"/>
    <w:rsid w:val="00DE3357"/>
    <w:rsid w:val="00DE362D"/>
    <w:rsid w:val="00E014B6"/>
    <w:rsid w:val="00E03240"/>
    <w:rsid w:val="00E1162F"/>
    <w:rsid w:val="00E11D5F"/>
    <w:rsid w:val="00E20E1F"/>
    <w:rsid w:val="00E32A3C"/>
    <w:rsid w:val="00E42D3F"/>
    <w:rsid w:val="00E42F96"/>
    <w:rsid w:val="00E51780"/>
    <w:rsid w:val="00E518D6"/>
    <w:rsid w:val="00E7118F"/>
    <w:rsid w:val="00EA586F"/>
    <w:rsid w:val="00EE6118"/>
    <w:rsid w:val="00EE7641"/>
    <w:rsid w:val="00F04D09"/>
    <w:rsid w:val="00F27657"/>
    <w:rsid w:val="00F27770"/>
    <w:rsid w:val="00F328FF"/>
    <w:rsid w:val="00F342DC"/>
    <w:rsid w:val="00F37107"/>
    <w:rsid w:val="00F45D3D"/>
    <w:rsid w:val="00F50621"/>
    <w:rsid w:val="00F56F93"/>
    <w:rsid w:val="00F63041"/>
    <w:rsid w:val="00F64144"/>
    <w:rsid w:val="00F76452"/>
    <w:rsid w:val="00FD6B46"/>
    <w:rsid w:val="00FE08F6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87B22"/>
  <w15:docId w15:val="{5FACF902-A383-400D-868E-1DC501C8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D0B85"/>
    <w:pPr>
      <w:ind w:left="720"/>
      <w:contextualSpacing/>
    </w:pPr>
    <w:rPr>
      <w:szCs w:val="20"/>
    </w:rPr>
  </w:style>
  <w:style w:type="table" w:styleId="Tabellenraster">
    <w:name w:val="Table Grid"/>
    <w:basedOn w:val="NormaleTabelle"/>
    <w:rsid w:val="007D0B8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3537A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3537A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8353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B8139-EEA4-4CD9-9726-39D78036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Müller, Markus</dc:creator>
  <cp:lastModifiedBy>Baumann, Gerhard</cp:lastModifiedBy>
  <cp:revision>13</cp:revision>
  <cp:lastPrinted>2021-10-06T06:13:00Z</cp:lastPrinted>
  <dcterms:created xsi:type="dcterms:W3CDTF">2021-09-15T11:33:00Z</dcterms:created>
  <dcterms:modified xsi:type="dcterms:W3CDTF">2021-10-20T07:00:00Z</dcterms:modified>
</cp:coreProperties>
</file>