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05590">
        <w:rPr>
          <w:szCs w:val="24"/>
        </w:rPr>
        <w:t>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05590">
        <w:rPr>
          <w:szCs w:val="24"/>
        </w:rPr>
        <w:t>821</w:t>
      </w:r>
      <w:r w:rsidR="005F5B3D">
        <w:rPr>
          <w:szCs w:val="24"/>
        </w:rPr>
        <w:t>/201</w:t>
      </w:r>
      <w:r w:rsidR="00F91BFF">
        <w:rPr>
          <w:szCs w:val="24"/>
        </w:rPr>
        <w:t>6</w:t>
      </w:r>
    </w:p>
    <w:p w:rsidR="003D7B0B" w:rsidRPr="006E0575" w:rsidRDefault="003D7B0B" w:rsidP="006E0575"/>
    <w:p w:rsidR="003D7B0B" w:rsidRPr="006E0575" w:rsidRDefault="003D7B0B" w:rsidP="006E0575"/>
    <w:p w:rsidR="000A206D" w:rsidRDefault="000A206D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0A206D" w:rsidRDefault="000A206D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184EDC" w:rsidRDefault="004B7D18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Stellenschaffungen</w:t>
      </w:r>
    </w:p>
    <w:p w:rsidR="003D7B0B" w:rsidRDefault="00BB405A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</w:t>
      </w:r>
      <w:r w:rsidR="00666A48">
        <w:rPr>
          <w:b/>
          <w:sz w:val="36"/>
          <w:u w:val="single"/>
        </w:rPr>
        <w:t>auf den</w:t>
      </w:r>
      <w:r w:rsidR="00184EDC" w:rsidRPr="00351C7E">
        <w:rPr>
          <w:b/>
          <w:sz w:val="36"/>
          <w:u w:val="single"/>
        </w:rPr>
        <w:t xml:space="preserve"> Stellenplan 20</w:t>
      </w:r>
      <w:r w:rsidR="00F60C42" w:rsidRPr="00351C7E">
        <w:rPr>
          <w:b/>
          <w:sz w:val="36"/>
          <w:u w:val="single"/>
        </w:rPr>
        <w:t>1</w:t>
      </w:r>
      <w:r w:rsidR="00F91BFF">
        <w:rPr>
          <w:b/>
          <w:sz w:val="36"/>
          <w:u w:val="single"/>
        </w:rPr>
        <w:t>8</w:t>
      </w:r>
    </w:p>
    <w:p w:rsidR="00351C7E" w:rsidRPr="00351C7E" w:rsidRDefault="00351C7E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0A206D" w:rsidRDefault="000A206D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6A10F4" w:rsidRPr="006E0575" w:rsidTr="00C134B0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6A10F4" w:rsidRPr="006E0575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6A10F4" w:rsidRPr="006E0575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A10F4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A10F4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6A10F4" w:rsidRPr="006E0575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6A10F4" w:rsidRPr="006E0575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6A10F4" w:rsidRPr="006E0575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6A10F4" w:rsidRPr="006E0575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6A10F4" w:rsidRPr="006E0575" w:rsidRDefault="006A10F4" w:rsidP="00C134B0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6A10F4">
        <w:tc>
          <w:tcPr>
            <w:tcW w:w="1645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8C0923" w:rsidRPr="00BF3232" w:rsidRDefault="003B5E45" w:rsidP="006E0575">
            <w:pPr>
              <w:rPr>
                <w:rFonts w:ascii="Helv" w:hAnsi="Helv" w:cs="Helv"/>
                <w:sz w:val="20"/>
              </w:rPr>
            </w:pPr>
            <w:r>
              <w:rPr>
                <w:rFonts w:ascii="Helv" w:hAnsi="Helv" w:cs="Helv"/>
                <w:sz w:val="20"/>
              </w:rPr>
              <w:t>100 0130</w:t>
            </w:r>
            <w:r w:rsidR="00BF3232" w:rsidRPr="00BF3232">
              <w:rPr>
                <w:rFonts w:ascii="Helv" w:hAnsi="Helv" w:cs="Helv"/>
                <w:sz w:val="20"/>
              </w:rPr>
              <w:t>…</w:t>
            </w:r>
          </w:p>
          <w:p w:rsidR="0011112B" w:rsidRDefault="0057483F" w:rsidP="006E0575">
            <w:pPr>
              <w:rPr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</w:rPr>
              <w:t>1010 5010</w:t>
            </w:r>
          </w:p>
          <w:p w:rsidR="005F5B3D" w:rsidRPr="006E0575" w:rsidRDefault="005F5B3D" w:rsidP="003A663C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F91BFF" w:rsidRDefault="00F91BFF" w:rsidP="006E0575">
            <w:pPr>
              <w:rPr>
                <w:sz w:val="20"/>
              </w:rPr>
            </w:pPr>
            <w:r>
              <w:rPr>
                <w:sz w:val="20"/>
              </w:rPr>
              <w:t>Haupt- und</w:t>
            </w:r>
          </w:p>
          <w:p w:rsidR="005F5B3D" w:rsidRPr="006E0575" w:rsidRDefault="003B5E45" w:rsidP="006E0575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D3248" w:rsidP="003B5E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3B5E45">
              <w:rPr>
                <w:sz w:val="20"/>
              </w:rPr>
              <w:t>8</w:t>
            </w:r>
          </w:p>
        </w:tc>
        <w:tc>
          <w:tcPr>
            <w:tcW w:w="1872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3B5E45" w:rsidP="006E0575">
            <w:pPr>
              <w:rPr>
                <w:sz w:val="20"/>
              </w:rPr>
            </w:pPr>
            <w:r>
              <w:rPr>
                <w:sz w:val="20"/>
              </w:rPr>
              <w:t>Mitarbeiter</w:t>
            </w:r>
            <w:r w:rsidR="004B7D18">
              <w:rPr>
                <w:sz w:val="20"/>
              </w:rPr>
              <w:t>/in</w:t>
            </w:r>
          </w:p>
        </w:tc>
        <w:tc>
          <w:tcPr>
            <w:tcW w:w="992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3B5E45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850" w:type="dxa"/>
          </w:tcPr>
          <w:p w:rsidR="005F5B3D" w:rsidRPr="00666A48" w:rsidRDefault="005F5B3D" w:rsidP="001F7237">
            <w:pPr>
              <w:jc w:val="center"/>
              <w:rPr>
                <w:sz w:val="20"/>
              </w:rPr>
            </w:pPr>
          </w:p>
          <w:p w:rsidR="00351C7E" w:rsidRPr="00666A48" w:rsidRDefault="00F91BFF" w:rsidP="003A6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B5E45">
              <w:rPr>
                <w:sz w:val="20"/>
              </w:rPr>
              <w:t>-</w:t>
            </w:r>
          </w:p>
        </w:tc>
        <w:tc>
          <w:tcPr>
            <w:tcW w:w="1502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F91BF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4B7D18" w:rsidRDefault="004B7D18" w:rsidP="004B7D18">
      <w:pPr>
        <w:pStyle w:val="berschrift1"/>
        <w:jc w:val="both"/>
        <w:rPr>
          <w:u w:val="none"/>
        </w:rPr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4B7D18" w:rsidRDefault="004B7D18" w:rsidP="004B7D18"/>
    <w:p w:rsidR="004B7D18" w:rsidRDefault="004B7D18" w:rsidP="004B7D18">
      <w:r>
        <w:t xml:space="preserve">Beantragt wird die Schaffung von </w:t>
      </w:r>
      <w:r w:rsidR="003B5E45">
        <w:t>5,25</w:t>
      </w:r>
      <w:r>
        <w:t xml:space="preserve"> Stelle</w:t>
      </w:r>
      <w:r w:rsidR="003B5E45">
        <w:t>n</w:t>
      </w:r>
      <w:r>
        <w:t xml:space="preserve"> (EG </w:t>
      </w:r>
      <w:r w:rsidR="003B5E45">
        <w:t>8</w:t>
      </w:r>
      <w:r>
        <w:t xml:space="preserve">) für die </w:t>
      </w:r>
      <w:r w:rsidR="003B5E45">
        <w:t xml:space="preserve">Übernahme von </w:t>
      </w:r>
      <w:r w:rsidR="00F91BFF">
        <w:t xml:space="preserve">insgesamt </w:t>
      </w:r>
      <w:r w:rsidR="003B5E45">
        <w:t xml:space="preserve">7 Mitarbeiterinnen und Mitarbeitern der </w:t>
      </w:r>
      <w:proofErr w:type="spellStart"/>
      <w:r w:rsidR="003B5E45">
        <w:t>NetCom</w:t>
      </w:r>
      <w:proofErr w:type="spellEnd"/>
      <w:r w:rsidR="00F91BFF">
        <w:t xml:space="preserve"> entsprechend </w:t>
      </w:r>
      <w:proofErr w:type="spellStart"/>
      <w:r w:rsidR="00F91BFF">
        <w:t>GRDrs</w:t>
      </w:r>
      <w:proofErr w:type="spellEnd"/>
      <w:r w:rsidR="00F91BFF">
        <w:t xml:space="preserve"> 327/2016</w:t>
      </w:r>
      <w:r>
        <w:t>.</w:t>
      </w:r>
    </w:p>
    <w:p w:rsidR="004B7D18" w:rsidRDefault="004B7D18" w:rsidP="004B7D18">
      <w:pPr>
        <w:pStyle w:val="berschrift1"/>
        <w:jc w:val="both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4B7D18" w:rsidRPr="00F71984" w:rsidRDefault="004B7D18" w:rsidP="004B7D18"/>
    <w:p w:rsidR="004B7D18" w:rsidRDefault="003B5E45" w:rsidP="004B7D18">
      <w:r>
        <w:t xml:space="preserve">Die Übernahme der </w:t>
      </w:r>
      <w:proofErr w:type="spellStart"/>
      <w:r>
        <w:t>NetCom</w:t>
      </w:r>
      <w:proofErr w:type="spellEnd"/>
      <w:r>
        <w:t xml:space="preserve"> </w:t>
      </w:r>
      <w:r w:rsidR="00CA1B8B">
        <w:t>erfüllt das Kriterium einer neuen Aufgabe.</w:t>
      </w:r>
      <w:r w:rsidR="00F91BFF">
        <w:t xml:space="preserve"> Die Stelle</w:t>
      </w:r>
      <w:r w:rsidR="00F91BFF">
        <w:t>n</w:t>
      </w:r>
      <w:r w:rsidR="00F91BFF">
        <w:t>schaffungen sind zudem haushaltsneutral, da im Gegenzug Sachkosten eingespart werden.</w:t>
      </w:r>
    </w:p>
    <w:p w:rsidR="004B7D18" w:rsidRDefault="004B7D18" w:rsidP="004B7D18">
      <w:pPr>
        <w:pStyle w:val="berschrift1"/>
        <w:jc w:val="both"/>
      </w:pPr>
      <w:r>
        <w:t>3</w:t>
      </w:r>
      <w:r>
        <w:tab/>
        <w:t>Bedarf</w:t>
      </w:r>
    </w:p>
    <w:p w:rsidR="004B7D18" w:rsidRDefault="004B7D18" w:rsidP="004B7D18">
      <w:pPr>
        <w:pStyle w:val="berschrift2"/>
        <w:jc w:val="both"/>
      </w:pPr>
      <w:r w:rsidRPr="00884D6C">
        <w:t>3.1</w:t>
      </w:r>
      <w:r w:rsidRPr="00884D6C">
        <w:tab/>
        <w:t>Anlass</w:t>
      </w:r>
    </w:p>
    <w:p w:rsidR="00E35162" w:rsidRPr="00E35162" w:rsidRDefault="00E35162" w:rsidP="00E35162"/>
    <w:p w:rsidR="00CA1B8B" w:rsidRDefault="00CA1B8B" w:rsidP="004B7D18">
      <w:pPr>
        <w:autoSpaceDE w:val="0"/>
        <w:autoSpaceDN w:val="0"/>
        <w:adjustRightInd w:val="0"/>
        <w:jc w:val="both"/>
      </w:pPr>
      <w:r>
        <w:t xml:space="preserve">Mit </w:t>
      </w:r>
      <w:proofErr w:type="spellStart"/>
      <w:r>
        <w:t>GRDrs</w:t>
      </w:r>
      <w:proofErr w:type="spellEnd"/>
      <w:r>
        <w:t xml:space="preserve"> 1250/2015 wurde die Verwaltung beauftragt, den Erwerb des Beteiligung</w:t>
      </w:r>
      <w:r>
        <w:t>s</w:t>
      </w:r>
      <w:r>
        <w:t xml:space="preserve">unternehmens </w:t>
      </w:r>
      <w:proofErr w:type="spellStart"/>
      <w:r>
        <w:t>NetCom</w:t>
      </w:r>
      <w:proofErr w:type="spellEnd"/>
      <w:r>
        <w:t xml:space="preserve"> Stuttgart GmbH Telekommunikationsdienste (</w:t>
      </w:r>
      <w:proofErr w:type="spellStart"/>
      <w:r>
        <w:t>NetCom</w:t>
      </w:r>
      <w:proofErr w:type="spellEnd"/>
      <w:r>
        <w:t>) und dessen Einbindung in die Verwaltungsstruktur in die Wege zu leiten. Hintergrund war, dass sich nach Beendigung der Altverträge über die Vermietung von Telekommunikat</w:t>
      </w:r>
      <w:r>
        <w:t>i</w:t>
      </w:r>
      <w:r>
        <w:t xml:space="preserve">onsdienstleistungen das Haupttätigkeitsfeld der </w:t>
      </w:r>
      <w:proofErr w:type="spellStart"/>
      <w:r>
        <w:t>NetCom</w:t>
      </w:r>
      <w:proofErr w:type="spellEnd"/>
      <w:r>
        <w:t xml:space="preserve"> insbesondere bei den Leistu</w:t>
      </w:r>
      <w:r>
        <w:t>n</w:t>
      </w:r>
      <w:r>
        <w:t>gen des Servicecenters auf den Konzern Landeshauptstadt Stuttgart konzentriert</w:t>
      </w:r>
      <w:r w:rsidR="0052238C">
        <w:t>e</w:t>
      </w:r>
      <w:r>
        <w:t xml:space="preserve">. Mit der </w:t>
      </w:r>
      <w:proofErr w:type="spellStart"/>
      <w:r>
        <w:t>GRDrs</w:t>
      </w:r>
      <w:proofErr w:type="spellEnd"/>
      <w:r>
        <w:t xml:space="preserve"> 327/2016 erwarb die Stadt Stuttgart sämtliche Betriebsgrundlagen der </w:t>
      </w:r>
      <w:proofErr w:type="spellStart"/>
      <w:r>
        <w:t>Ne</w:t>
      </w:r>
      <w:r>
        <w:t>t</w:t>
      </w:r>
      <w:r>
        <w:t>Com</w:t>
      </w:r>
      <w:proofErr w:type="spellEnd"/>
      <w:r>
        <w:t>.</w:t>
      </w:r>
      <w:r w:rsidR="008E438F">
        <w:t xml:space="preserve"> </w:t>
      </w:r>
    </w:p>
    <w:p w:rsidR="004B7D18" w:rsidRPr="006E0575" w:rsidRDefault="00CA1B8B" w:rsidP="004B7D18">
      <w:pPr>
        <w:autoSpaceDE w:val="0"/>
        <w:autoSpaceDN w:val="0"/>
        <w:adjustRightInd w:val="0"/>
        <w:jc w:val="both"/>
      </w:pPr>
      <w:r>
        <w:t xml:space="preserve"> </w:t>
      </w:r>
    </w:p>
    <w:p w:rsidR="006A10F4" w:rsidRDefault="006A10F4">
      <w:pPr>
        <w:rPr>
          <w:b/>
        </w:rPr>
      </w:pPr>
      <w:r>
        <w:br w:type="page"/>
      </w:r>
    </w:p>
    <w:p w:rsidR="004B7D18" w:rsidRPr="00165C0D" w:rsidRDefault="004B7D18" w:rsidP="004B7D18">
      <w:pPr>
        <w:pStyle w:val="berschrift2"/>
        <w:jc w:val="both"/>
      </w:pPr>
      <w:r w:rsidRPr="00165C0D">
        <w:lastRenderedPageBreak/>
        <w:t>3.2</w:t>
      </w:r>
      <w:r w:rsidRPr="00165C0D">
        <w:tab/>
        <w:t>Bisherige Aufgabenwahrnehmung</w:t>
      </w:r>
    </w:p>
    <w:p w:rsidR="004B7D18" w:rsidRDefault="004B7D18" w:rsidP="004B7D18">
      <w:pPr>
        <w:jc w:val="both"/>
      </w:pPr>
    </w:p>
    <w:p w:rsidR="00CA1B8B" w:rsidRPr="007D7DF0" w:rsidRDefault="00CA1B8B" w:rsidP="008E438F">
      <w:pPr>
        <w:autoSpaceDE w:val="0"/>
        <w:autoSpaceDN w:val="0"/>
        <w:adjustRightInd w:val="0"/>
        <w:spacing w:line="276" w:lineRule="auto"/>
        <w:rPr>
          <w:rFonts w:eastAsiaTheme="minorEastAsia" w:cs="Arial"/>
          <w:szCs w:val="24"/>
        </w:rPr>
      </w:pPr>
      <w:r w:rsidRPr="002129C1">
        <w:rPr>
          <w:rFonts w:eastAsiaTheme="minorEastAsia" w:cs="Arial"/>
          <w:szCs w:val="24"/>
        </w:rPr>
        <w:t xml:space="preserve">Die </w:t>
      </w:r>
      <w:proofErr w:type="spellStart"/>
      <w:r w:rsidRPr="0096475B">
        <w:rPr>
          <w:rFonts w:eastAsiaTheme="minorEastAsia" w:cs="Arial"/>
          <w:szCs w:val="24"/>
        </w:rPr>
        <w:t>NetCom</w:t>
      </w:r>
      <w:proofErr w:type="spellEnd"/>
      <w:r w:rsidRPr="0096475B">
        <w:rPr>
          <w:rFonts w:eastAsiaTheme="minorEastAsia" w:cs="Arial"/>
          <w:szCs w:val="24"/>
        </w:rPr>
        <w:t xml:space="preserve"> </w:t>
      </w:r>
      <w:r w:rsidRPr="002129C1">
        <w:rPr>
          <w:rFonts w:eastAsiaTheme="minorEastAsia" w:cs="Arial"/>
          <w:szCs w:val="24"/>
        </w:rPr>
        <w:t>erbr</w:t>
      </w:r>
      <w:r w:rsidR="00F91BFF">
        <w:rPr>
          <w:rFonts w:eastAsiaTheme="minorEastAsia" w:cs="Arial"/>
          <w:szCs w:val="24"/>
        </w:rPr>
        <w:t>achte</w:t>
      </w:r>
      <w:r w:rsidRPr="002129C1">
        <w:rPr>
          <w:rFonts w:eastAsiaTheme="minorEastAsia" w:cs="Arial"/>
          <w:szCs w:val="24"/>
        </w:rPr>
        <w:t xml:space="preserve"> im ServiceCenter</w:t>
      </w:r>
      <w:r>
        <w:rPr>
          <w:rFonts w:eastAsiaTheme="minorEastAsia" w:cs="Arial"/>
          <w:szCs w:val="24"/>
        </w:rPr>
        <w:t xml:space="preserve"> der</w:t>
      </w:r>
      <w:r w:rsidRPr="002129C1">
        <w:rPr>
          <w:rFonts w:eastAsiaTheme="minorEastAsia" w:cs="Arial"/>
          <w:szCs w:val="24"/>
        </w:rPr>
        <w:t xml:space="preserve"> Stadt Stuttgart seit 2012 Telefondienstlei</w:t>
      </w:r>
      <w:r w:rsidRPr="002129C1">
        <w:rPr>
          <w:rFonts w:eastAsiaTheme="minorEastAsia" w:cs="Arial"/>
          <w:szCs w:val="24"/>
        </w:rPr>
        <w:t>s</w:t>
      </w:r>
      <w:r w:rsidRPr="002129C1">
        <w:rPr>
          <w:rFonts w:eastAsiaTheme="minorEastAsia" w:cs="Arial"/>
          <w:szCs w:val="24"/>
        </w:rPr>
        <w:t>tungen für die eingehenden Anrufe in d</w:t>
      </w:r>
      <w:r>
        <w:rPr>
          <w:rFonts w:eastAsiaTheme="minorEastAsia" w:cs="Arial"/>
          <w:szCs w:val="24"/>
        </w:rPr>
        <w:t xml:space="preserve">er Zeit von Montag bis Freitag </w:t>
      </w:r>
      <w:r w:rsidRPr="002129C1">
        <w:rPr>
          <w:rFonts w:eastAsiaTheme="minorEastAsia" w:cs="Arial"/>
          <w:szCs w:val="24"/>
        </w:rPr>
        <w:t xml:space="preserve">8.00 - 18.00 </w:t>
      </w:r>
      <w:r>
        <w:rPr>
          <w:rFonts w:eastAsiaTheme="minorEastAsia" w:cs="Arial"/>
          <w:szCs w:val="24"/>
        </w:rPr>
        <w:t>U</w:t>
      </w:r>
      <w:r w:rsidRPr="002129C1">
        <w:rPr>
          <w:rFonts w:eastAsiaTheme="minorEastAsia" w:cs="Arial"/>
          <w:szCs w:val="24"/>
        </w:rPr>
        <w:t xml:space="preserve">hr. </w:t>
      </w:r>
      <w:r>
        <w:rPr>
          <w:rFonts w:cs="Arial"/>
          <w:szCs w:val="24"/>
        </w:rPr>
        <w:t>Neben der einheitlichen Behördennummer 115 und der städtischen 216-0 sind die Au</w:t>
      </w:r>
      <w:r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kunftsnummern der Bürgerbüros, des </w:t>
      </w:r>
      <w:r w:rsidRPr="0096475B">
        <w:rPr>
          <w:rFonts w:eastAsiaTheme="minorEastAsia" w:cs="Arial"/>
          <w:szCs w:val="24"/>
        </w:rPr>
        <w:t xml:space="preserve">Heißen Drahtes, der Kfz-Zulassung und </w:t>
      </w:r>
      <w:r w:rsidR="0052238C">
        <w:rPr>
          <w:rFonts w:eastAsiaTheme="minorEastAsia" w:cs="Arial"/>
          <w:szCs w:val="24"/>
        </w:rPr>
        <w:t xml:space="preserve">der </w:t>
      </w:r>
      <w:r w:rsidRPr="0096475B">
        <w:rPr>
          <w:rFonts w:eastAsiaTheme="minorEastAsia" w:cs="Arial"/>
          <w:szCs w:val="24"/>
        </w:rPr>
        <w:t>Fü</w:t>
      </w:r>
      <w:r w:rsidRPr="0096475B">
        <w:rPr>
          <w:rFonts w:eastAsiaTheme="minorEastAsia" w:cs="Arial"/>
          <w:szCs w:val="24"/>
        </w:rPr>
        <w:t>h</w:t>
      </w:r>
      <w:r w:rsidRPr="0096475B">
        <w:rPr>
          <w:rFonts w:eastAsiaTheme="minorEastAsia" w:cs="Arial"/>
          <w:szCs w:val="24"/>
        </w:rPr>
        <w:t>rerscheinstelle integriert.</w:t>
      </w:r>
      <w:r>
        <w:rPr>
          <w:rFonts w:eastAsiaTheme="minorEastAsia" w:cs="Arial"/>
          <w:szCs w:val="24"/>
        </w:rPr>
        <w:t xml:space="preserve"> </w:t>
      </w:r>
      <w:r w:rsidRPr="002129C1">
        <w:rPr>
          <w:rFonts w:eastAsiaTheme="minorEastAsia" w:cs="Arial"/>
          <w:szCs w:val="24"/>
        </w:rPr>
        <w:t>Insgesamt er</w:t>
      </w:r>
      <w:r w:rsidR="00F91BFF">
        <w:rPr>
          <w:rFonts w:eastAsiaTheme="minorEastAsia" w:cs="Arial"/>
          <w:szCs w:val="24"/>
        </w:rPr>
        <w:t>brachte</w:t>
      </w:r>
      <w:r w:rsidRPr="002129C1">
        <w:rPr>
          <w:rFonts w:eastAsiaTheme="minorEastAsia" w:cs="Arial"/>
          <w:szCs w:val="24"/>
        </w:rPr>
        <w:t xml:space="preserve"> d</w:t>
      </w:r>
      <w:r>
        <w:rPr>
          <w:rFonts w:eastAsiaTheme="minorEastAsia" w:cs="Arial"/>
          <w:szCs w:val="24"/>
        </w:rPr>
        <w:t xml:space="preserve">ie </w:t>
      </w:r>
      <w:proofErr w:type="spellStart"/>
      <w:r>
        <w:rPr>
          <w:rFonts w:eastAsiaTheme="minorEastAsia" w:cs="Arial"/>
          <w:szCs w:val="24"/>
        </w:rPr>
        <w:t>NetCom</w:t>
      </w:r>
      <w:proofErr w:type="spellEnd"/>
      <w:r>
        <w:rPr>
          <w:rFonts w:eastAsiaTheme="minorEastAsia" w:cs="Arial"/>
          <w:szCs w:val="24"/>
        </w:rPr>
        <w:t xml:space="preserve"> Stuttgart GmbH Teleko</w:t>
      </w:r>
      <w:r>
        <w:rPr>
          <w:rFonts w:eastAsiaTheme="minorEastAsia" w:cs="Arial"/>
          <w:szCs w:val="24"/>
        </w:rPr>
        <w:t>m</w:t>
      </w:r>
      <w:r>
        <w:rPr>
          <w:rFonts w:eastAsiaTheme="minorEastAsia" w:cs="Arial"/>
          <w:szCs w:val="24"/>
        </w:rPr>
        <w:t xml:space="preserve">munikationsdienste </w:t>
      </w:r>
      <w:r w:rsidRPr="002129C1">
        <w:rPr>
          <w:rFonts w:eastAsiaTheme="minorEastAsia" w:cs="Arial"/>
          <w:szCs w:val="24"/>
        </w:rPr>
        <w:t>für die Land</w:t>
      </w:r>
      <w:r>
        <w:rPr>
          <w:rFonts w:eastAsiaTheme="minorEastAsia" w:cs="Arial"/>
          <w:szCs w:val="24"/>
        </w:rPr>
        <w:t>eshauptstadt Stuttgart (Service</w:t>
      </w:r>
      <w:r w:rsidRPr="002129C1">
        <w:rPr>
          <w:rFonts w:eastAsiaTheme="minorEastAsia" w:cs="Arial"/>
          <w:szCs w:val="24"/>
        </w:rPr>
        <w:t xml:space="preserve">Center Stuttgart), die Stuttgarter Straßenbahnen AG (SSB), die Stadtwerke Stuttgart </w:t>
      </w:r>
      <w:r>
        <w:rPr>
          <w:rFonts w:eastAsiaTheme="minorEastAsia" w:cs="Arial"/>
          <w:szCs w:val="24"/>
        </w:rPr>
        <w:t>Vertriebsgesellschaft mbH</w:t>
      </w:r>
      <w:r w:rsidRPr="002129C1">
        <w:rPr>
          <w:rFonts w:eastAsiaTheme="minorEastAsia" w:cs="Arial"/>
          <w:szCs w:val="24"/>
        </w:rPr>
        <w:t xml:space="preserve"> sowie</w:t>
      </w:r>
      <w:r>
        <w:rPr>
          <w:rFonts w:eastAsiaTheme="minorEastAsia" w:cs="Arial"/>
          <w:szCs w:val="24"/>
        </w:rPr>
        <w:t xml:space="preserve"> für Teile des</w:t>
      </w:r>
      <w:r w:rsidRPr="002129C1">
        <w:rPr>
          <w:rFonts w:eastAsiaTheme="minorEastAsia" w:cs="Arial"/>
          <w:szCs w:val="24"/>
        </w:rPr>
        <w:t xml:space="preserve"> Klinikum</w:t>
      </w:r>
      <w:r>
        <w:rPr>
          <w:rFonts w:eastAsiaTheme="minorEastAsia" w:cs="Arial"/>
          <w:szCs w:val="24"/>
        </w:rPr>
        <w:t>s</w:t>
      </w:r>
      <w:r w:rsidRPr="002129C1">
        <w:rPr>
          <w:rFonts w:eastAsiaTheme="minorEastAsia" w:cs="Arial"/>
          <w:szCs w:val="24"/>
        </w:rPr>
        <w:t xml:space="preserve"> Stuttgart.</w:t>
      </w:r>
      <w:r>
        <w:rPr>
          <w:rFonts w:eastAsiaTheme="minorEastAsia" w:cs="Arial"/>
          <w:szCs w:val="24"/>
        </w:rPr>
        <w:t xml:space="preserve"> Für die Landeshauptstadt </w:t>
      </w:r>
      <w:r w:rsidRPr="007D7DF0">
        <w:rPr>
          <w:rFonts w:eastAsiaTheme="minorEastAsia" w:cs="Arial"/>
          <w:szCs w:val="24"/>
        </w:rPr>
        <w:t>inklusive Klin</w:t>
      </w:r>
      <w:r w:rsidRPr="007D7DF0">
        <w:rPr>
          <w:rFonts w:eastAsiaTheme="minorEastAsia" w:cs="Arial"/>
          <w:szCs w:val="24"/>
        </w:rPr>
        <w:t>i</w:t>
      </w:r>
      <w:r w:rsidRPr="007D7DF0">
        <w:rPr>
          <w:rFonts w:eastAsiaTheme="minorEastAsia" w:cs="Arial"/>
          <w:szCs w:val="24"/>
        </w:rPr>
        <w:t>kum</w:t>
      </w:r>
      <w:r>
        <w:rPr>
          <w:rFonts w:eastAsiaTheme="minorEastAsia" w:cs="Arial"/>
          <w:szCs w:val="24"/>
        </w:rPr>
        <w:t xml:space="preserve"> wurden im Jahr 2015 insgesamt </w:t>
      </w:r>
      <w:r w:rsidRPr="00B93AC3">
        <w:rPr>
          <w:rFonts w:eastAsiaTheme="minorEastAsia" w:cs="Arial"/>
          <w:szCs w:val="24"/>
        </w:rPr>
        <w:t>298.000</w:t>
      </w:r>
      <w:r>
        <w:rPr>
          <w:rFonts w:eastAsiaTheme="minorEastAsia" w:cs="Arial"/>
          <w:szCs w:val="24"/>
        </w:rPr>
        <w:t xml:space="preserve"> Vorgänge (</w:t>
      </w:r>
      <w:proofErr w:type="spellStart"/>
      <w:r>
        <w:rPr>
          <w:rFonts w:eastAsiaTheme="minorEastAsia" w:cs="Arial"/>
          <w:szCs w:val="24"/>
        </w:rPr>
        <w:t>Calls</w:t>
      </w:r>
      <w:proofErr w:type="spellEnd"/>
      <w:r>
        <w:rPr>
          <w:rFonts w:eastAsiaTheme="minorEastAsia" w:cs="Arial"/>
          <w:szCs w:val="24"/>
        </w:rPr>
        <w:t xml:space="preserve"> und Nachbearbeitung) abgewickelt, für die anderen Vertragspartner </w:t>
      </w:r>
      <w:r w:rsidR="0052238C">
        <w:rPr>
          <w:rFonts w:eastAsiaTheme="minorEastAsia" w:cs="Arial"/>
          <w:szCs w:val="24"/>
        </w:rPr>
        <w:t>56.000.</w:t>
      </w:r>
    </w:p>
    <w:p w:rsidR="00CA1B8B" w:rsidRDefault="00CA1B8B" w:rsidP="00CA1B8B">
      <w:pPr>
        <w:rPr>
          <w:rFonts w:eastAsiaTheme="minorEastAsia" w:cs="Arial"/>
          <w:szCs w:val="24"/>
        </w:rPr>
      </w:pPr>
    </w:p>
    <w:p w:rsidR="00CA1B8B" w:rsidRDefault="00CA1B8B" w:rsidP="00CA1B8B">
      <w:pPr>
        <w:spacing w:line="276" w:lineRule="auto"/>
        <w:rPr>
          <w:rFonts w:eastAsiaTheme="minorEastAsia" w:cs="Arial"/>
          <w:szCs w:val="24"/>
        </w:rPr>
      </w:pPr>
      <w:r w:rsidRPr="002129C1">
        <w:rPr>
          <w:rFonts w:eastAsiaTheme="minorEastAsia" w:cs="Arial"/>
          <w:szCs w:val="24"/>
        </w:rPr>
        <w:t>Dies führt</w:t>
      </w:r>
      <w:r w:rsidR="0052238C">
        <w:rPr>
          <w:rFonts w:eastAsiaTheme="minorEastAsia" w:cs="Arial"/>
          <w:szCs w:val="24"/>
        </w:rPr>
        <w:t>e</w:t>
      </w:r>
      <w:r w:rsidRPr="002129C1">
        <w:rPr>
          <w:rFonts w:eastAsiaTheme="minorEastAsia" w:cs="Arial"/>
          <w:szCs w:val="24"/>
        </w:rPr>
        <w:t xml:space="preserve"> dazu, dass die Kostenverrechnung für die Dienstleistungen (für die städt</w:t>
      </w:r>
      <w:r w:rsidRPr="002129C1">
        <w:rPr>
          <w:rFonts w:eastAsiaTheme="minorEastAsia" w:cs="Arial"/>
          <w:szCs w:val="24"/>
        </w:rPr>
        <w:t>i</w:t>
      </w:r>
      <w:r w:rsidRPr="002129C1">
        <w:rPr>
          <w:rFonts w:eastAsiaTheme="minorEastAsia" w:cs="Arial"/>
          <w:szCs w:val="24"/>
        </w:rPr>
        <w:t>schen Ämter</w:t>
      </w:r>
      <w:r>
        <w:rPr>
          <w:rFonts w:eastAsiaTheme="minorEastAsia" w:cs="Arial"/>
          <w:szCs w:val="24"/>
        </w:rPr>
        <w:t xml:space="preserve"> und Eigenbetriebe einschließlich des</w:t>
      </w:r>
      <w:r w:rsidRPr="002129C1">
        <w:rPr>
          <w:rFonts w:eastAsiaTheme="minorEastAsia" w:cs="Arial"/>
          <w:szCs w:val="24"/>
        </w:rPr>
        <w:t xml:space="preserve"> Eigenbetrieb</w:t>
      </w:r>
      <w:r>
        <w:rPr>
          <w:rFonts w:eastAsiaTheme="minorEastAsia" w:cs="Arial"/>
          <w:szCs w:val="24"/>
        </w:rPr>
        <w:t>es</w:t>
      </w:r>
      <w:r w:rsidRPr="002129C1">
        <w:rPr>
          <w:rFonts w:eastAsiaTheme="minorEastAsia" w:cs="Arial"/>
          <w:szCs w:val="24"/>
        </w:rPr>
        <w:t xml:space="preserve"> Klinikum Stuttgart) und damit ebenfalls die Finanzierung der </w:t>
      </w:r>
      <w:proofErr w:type="spellStart"/>
      <w:r w:rsidRPr="002129C1">
        <w:rPr>
          <w:rFonts w:eastAsiaTheme="minorEastAsia" w:cs="Arial"/>
          <w:szCs w:val="24"/>
        </w:rPr>
        <w:t>NetCom</w:t>
      </w:r>
      <w:proofErr w:type="spellEnd"/>
      <w:r w:rsidRPr="002129C1">
        <w:rPr>
          <w:rFonts w:eastAsiaTheme="minorEastAsia" w:cs="Arial"/>
          <w:szCs w:val="24"/>
        </w:rPr>
        <w:t xml:space="preserve"> insgesamt über die Landeshauptstadt Stuttgart l</w:t>
      </w:r>
      <w:r w:rsidR="0052238C">
        <w:rPr>
          <w:rFonts w:eastAsiaTheme="minorEastAsia" w:cs="Arial"/>
          <w:szCs w:val="24"/>
        </w:rPr>
        <w:t>ief</w:t>
      </w:r>
      <w:r w:rsidRPr="002129C1">
        <w:rPr>
          <w:rFonts w:eastAsiaTheme="minorEastAsia" w:cs="Arial"/>
          <w:szCs w:val="24"/>
        </w:rPr>
        <w:t xml:space="preserve"> und die Geschäftsentwicklung maßgeblich präg</w:t>
      </w:r>
      <w:r w:rsidR="0052238C">
        <w:rPr>
          <w:rFonts w:eastAsiaTheme="minorEastAsia" w:cs="Arial"/>
          <w:szCs w:val="24"/>
        </w:rPr>
        <w:t>te</w:t>
      </w:r>
      <w:r w:rsidRPr="002129C1">
        <w:rPr>
          <w:rFonts w:eastAsiaTheme="minorEastAsia" w:cs="Arial"/>
          <w:szCs w:val="24"/>
        </w:rPr>
        <w:t>. Darüber hin</w:t>
      </w:r>
      <w:r>
        <w:rPr>
          <w:rFonts w:eastAsiaTheme="minorEastAsia" w:cs="Arial"/>
          <w:szCs w:val="24"/>
        </w:rPr>
        <w:t xml:space="preserve">aus </w:t>
      </w:r>
      <w:r w:rsidR="0052238C">
        <w:rPr>
          <w:rFonts w:eastAsiaTheme="minorEastAsia" w:cs="Arial"/>
          <w:szCs w:val="24"/>
        </w:rPr>
        <w:t>waren</w:t>
      </w:r>
      <w:r>
        <w:rPr>
          <w:rFonts w:eastAsiaTheme="minorEastAsia" w:cs="Arial"/>
          <w:szCs w:val="24"/>
        </w:rPr>
        <w:t xml:space="preserve"> für das Service</w:t>
      </w:r>
      <w:r w:rsidRPr="002129C1">
        <w:rPr>
          <w:rFonts w:eastAsiaTheme="minorEastAsia" w:cs="Arial"/>
          <w:szCs w:val="24"/>
        </w:rPr>
        <w:t>Center Stadt Stuttgart bereits 20 städtische Mitarbeiterinnen und Mita</w:t>
      </w:r>
      <w:r w:rsidRPr="002129C1">
        <w:rPr>
          <w:rFonts w:eastAsiaTheme="minorEastAsia" w:cs="Arial"/>
          <w:szCs w:val="24"/>
        </w:rPr>
        <w:t>r</w:t>
      </w:r>
      <w:r w:rsidRPr="002129C1">
        <w:rPr>
          <w:rFonts w:eastAsiaTheme="minorEastAsia" w:cs="Arial"/>
          <w:szCs w:val="24"/>
        </w:rPr>
        <w:t>beiter (15 Stellen) im Rahmen der Personalgestellung tätig. Aufgrund dieser Nähe zur städtischen Verwaltung und dem Wegfall der Altgeschäfte de</w:t>
      </w:r>
      <w:r>
        <w:rPr>
          <w:rFonts w:eastAsiaTheme="minorEastAsia" w:cs="Arial"/>
          <w:szCs w:val="24"/>
        </w:rPr>
        <w:t xml:space="preserve">r </w:t>
      </w:r>
      <w:proofErr w:type="spellStart"/>
      <w:r>
        <w:rPr>
          <w:rFonts w:eastAsiaTheme="minorEastAsia" w:cs="Arial"/>
          <w:szCs w:val="24"/>
        </w:rPr>
        <w:t>NetCom</w:t>
      </w:r>
      <w:proofErr w:type="spellEnd"/>
      <w:r>
        <w:rPr>
          <w:rFonts w:eastAsiaTheme="minorEastAsia" w:cs="Arial"/>
          <w:szCs w:val="24"/>
        </w:rPr>
        <w:t xml:space="preserve"> </w:t>
      </w:r>
      <w:r w:rsidRPr="002129C1">
        <w:rPr>
          <w:rFonts w:eastAsiaTheme="minorEastAsia" w:cs="Arial"/>
          <w:szCs w:val="24"/>
        </w:rPr>
        <w:t>gliedert</w:t>
      </w:r>
      <w:r w:rsidR="0052238C">
        <w:rPr>
          <w:rFonts w:eastAsiaTheme="minorEastAsia" w:cs="Arial"/>
          <w:szCs w:val="24"/>
        </w:rPr>
        <w:t>e</w:t>
      </w:r>
      <w:r w:rsidRPr="002129C1">
        <w:rPr>
          <w:rFonts w:eastAsiaTheme="minorEastAsia" w:cs="Arial"/>
          <w:szCs w:val="24"/>
        </w:rPr>
        <w:t xml:space="preserve"> die Verwaltung diese Telefondienstleistungen in die Organisationsstruktur des Haupt- und Personalamtes ein. </w:t>
      </w:r>
    </w:p>
    <w:p w:rsidR="00CA1B8B" w:rsidRDefault="00CA1B8B" w:rsidP="00CA1B8B">
      <w:pPr>
        <w:spacing w:line="276" w:lineRule="auto"/>
        <w:rPr>
          <w:rFonts w:eastAsiaTheme="minorEastAsia" w:cs="Arial"/>
          <w:szCs w:val="24"/>
        </w:rPr>
      </w:pPr>
    </w:p>
    <w:p w:rsidR="00CA1B8B" w:rsidRPr="007D7DF0" w:rsidRDefault="00CA1B8B" w:rsidP="00CA1B8B">
      <w:pPr>
        <w:spacing w:line="276" w:lineRule="auto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Seit dem</w:t>
      </w:r>
      <w:r w:rsidRPr="007D7DF0">
        <w:rPr>
          <w:rFonts w:eastAsiaTheme="minorEastAsia" w:cs="Arial"/>
          <w:szCs w:val="24"/>
        </w:rPr>
        <w:t xml:space="preserve"> Stichtag 1. Juli 2016 </w:t>
      </w:r>
      <w:r w:rsidR="0052238C">
        <w:rPr>
          <w:rFonts w:eastAsiaTheme="minorEastAsia" w:cs="Arial"/>
          <w:szCs w:val="24"/>
        </w:rPr>
        <w:t>arbeiten</w:t>
      </w:r>
      <w:r w:rsidRPr="007D7DF0">
        <w:rPr>
          <w:rFonts w:eastAsiaTheme="minorEastAsia" w:cs="Arial"/>
          <w:szCs w:val="24"/>
        </w:rPr>
        <w:t xml:space="preserve"> im ServiceCenter 27 Mitarbeiterinnen und Mita</w:t>
      </w:r>
      <w:r w:rsidRPr="007D7DF0">
        <w:rPr>
          <w:rFonts w:eastAsiaTheme="minorEastAsia" w:cs="Arial"/>
          <w:szCs w:val="24"/>
        </w:rPr>
        <w:t>r</w:t>
      </w:r>
      <w:r w:rsidRPr="007D7DF0">
        <w:rPr>
          <w:rFonts w:eastAsiaTheme="minorEastAsia" w:cs="Arial"/>
          <w:szCs w:val="24"/>
        </w:rPr>
        <w:t xml:space="preserve">beiter (20,25 Stellen) für die Stadt Stuttgart, die Stuttgarter Straßenbahnen AG (SSB), die </w:t>
      </w:r>
      <w:r w:rsidRPr="002129C1">
        <w:rPr>
          <w:rFonts w:eastAsiaTheme="minorEastAsia" w:cs="Arial"/>
          <w:szCs w:val="24"/>
        </w:rPr>
        <w:t xml:space="preserve">Stadtwerke Stuttgart </w:t>
      </w:r>
      <w:r>
        <w:rPr>
          <w:rFonts w:eastAsiaTheme="minorEastAsia" w:cs="Arial"/>
          <w:szCs w:val="24"/>
        </w:rPr>
        <w:t>Vertriebsgesellschaft mbH</w:t>
      </w:r>
      <w:r w:rsidRPr="002129C1">
        <w:rPr>
          <w:rFonts w:eastAsiaTheme="minorEastAsia" w:cs="Arial"/>
          <w:szCs w:val="24"/>
        </w:rPr>
        <w:t xml:space="preserve"> </w:t>
      </w:r>
      <w:r w:rsidRPr="007D7DF0">
        <w:rPr>
          <w:rFonts w:eastAsiaTheme="minorEastAsia" w:cs="Arial"/>
          <w:szCs w:val="24"/>
        </w:rPr>
        <w:t>sowie für Teile des Klinikums Stut</w:t>
      </w:r>
      <w:r w:rsidRPr="007D7DF0">
        <w:rPr>
          <w:rFonts w:eastAsiaTheme="minorEastAsia" w:cs="Arial"/>
          <w:szCs w:val="24"/>
        </w:rPr>
        <w:t>t</w:t>
      </w:r>
      <w:r w:rsidRPr="007D7DF0">
        <w:rPr>
          <w:rFonts w:eastAsiaTheme="minorEastAsia" w:cs="Arial"/>
          <w:szCs w:val="24"/>
        </w:rPr>
        <w:t>gart.</w:t>
      </w:r>
    </w:p>
    <w:p w:rsidR="00CA1B8B" w:rsidRDefault="00CA1B8B" w:rsidP="004B7D18">
      <w:pPr>
        <w:jc w:val="both"/>
      </w:pPr>
    </w:p>
    <w:p w:rsidR="004B7D18" w:rsidRDefault="004B7D18" w:rsidP="004B7D18">
      <w:pPr>
        <w:jc w:val="both"/>
      </w:pPr>
    </w:p>
    <w:p w:rsidR="004B7D18" w:rsidRDefault="004B7D18" w:rsidP="004B7D18">
      <w:pPr>
        <w:pStyle w:val="berschrift2"/>
        <w:jc w:val="both"/>
      </w:pPr>
      <w:r>
        <w:t>3.3</w:t>
      </w:r>
      <w:r>
        <w:tab/>
        <w:t>Auswirkungen bei Ablehnung der Stellenschaffung</w:t>
      </w:r>
    </w:p>
    <w:p w:rsidR="004B7D18" w:rsidRDefault="004B7D18" w:rsidP="004B7D18">
      <w:pPr>
        <w:jc w:val="both"/>
      </w:pPr>
    </w:p>
    <w:p w:rsidR="00CA1B8B" w:rsidRDefault="00CA1B8B" w:rsidP="00CA1B8B">
      <w:p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Durch die Integration von Auskunftsnummern in das ServiceCenter k</w:t>
      </w:r>
      <w:r w:rsidR="0052238C">
        <w:rPr>
          <w:rFonts w:cs="Arial"/>
          <w:szCs w:val="24"/>
        </w:rPr>
        <w:t>onnt</w:t>
      </w:r>
      <w:r>
        <w:rPr>
          <w:rFonts w:cs="Arial"/>
          <w:szCs w:val="24"/>
        </w:rPr>
        <w:t>en in den pu</w:t>
      </w:r>
      <w:r>
        <w:rPr>
          <w:rFonts w:cs="Arial"/>
          <w:szCs w:val="24"/>
        </w:rPr>
        <w:t>b</w:t>
      </w:r>
      <w:r>
        <w:rPr>
          <w:rFonts w:cs="Arial"/>
          <w:szCs w:val="24"/>
        </w:rPr>
        <w:t>likumsintensiven Dienststellen Entlastungseffekte erzielt werden, da Arbeitsprozesse und der betriebliche Ablauf ohne Unterbrechungen durch Telefonate abgewickelt und durch die abschließende telefonische Beratung und Bearbeitung die Besuche von Bü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gern/-innen reduziert w</w:t>
      </w:r>
      <w:r w:rsidR="0052238C">
        <w:rPr>
          <w:rFonts w:cs="Arial"/>
          <w:szCs w:val="24"/>
        </w:rPr>
        <w:t>u</w:t>
      </w:r>
      <w:r>
        <w:rPr>
          <w:rFonts w:cs="Arial"/>
          <w:szCs w:val="24"/>
        </w:rPr>
        <w:t>rden. Dem Bürger wird durch die Einheitlichkeit und Erreichba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keit mit einer Quote von 90% eine sehr hohe Qualität geboten. </w:t>
      </w:r>
    </w:p>
    <w:p w:rsidR="00CA1B8B" w:rsidRDefault="00CA1B8B" w:rsidP="00CA1B8B">
      <w:p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</w:p>
    <w:p w:rsidR="00CA1B8B" w:rsidRPr="002129C1" w:rsidRDefault="00CA1B8B" w:rsidP="00CA1B8B">
      <w:pPr>
        <w:autoSpaceDE w:val="0"/>
        <w:autoSpaceDN w:val="0"/>
        <w:adjustRightInd w:val="0"/>
        <w:spacing w:line="276" w:lineRule="auto"/>
        <w:rPr>
          <w:rFonts w:eastAsiaTheme="minorEastAsia" w:cs="Arial"/>
          <w:i/>
          <w:szCs w:val="24"/>
        </w:rPr>
      </w:pPr>
      <w:r>
        <w:rPr>
          <w:rFonts w:cs="Arial"/>
          <w:szCs w:val="24"/>
        </w:rPr>
        <w:t xml:space="preserve">Ohne die Stellenschaffungen wäre mit Einbußen im Umfang der </w:t>
      </w:r>
      <w:proofErr w:type="spellStart"/>
      <w:r>
        <w:rPr>
          <w:rFonts w:cs="Arial"/>
          <w:szCs w:val="24"/>
        </w:rPr>
        <w:t>v.g</w:t>
      </w:r>
      <w:proofErr w:type="spellEnd"/>
      <w:r>
        <w:rPr>
          <w:rFonts w:cs="Arial"/>
          <w:szCs w:val="24"/>
        </w:rPr>
        <w:t>. Serviceleistungen für die Ämter und Bürger der Stadt Stuttgart zu rechnen.</w:t>
      </w:r>
    </w:p>
    <w:p w:rsidR="004B7D18" w:rsidRDefault="004B7D18" w:rsidP="004B7D18"/>
    <w:p w:rsidR="004B7D18" w:rsidRDefault="004B7D18" w:rsidP="004B7D18">
      <w:pPr>
        <w:pStyle w:val="berschrift1"/>
        <w:jc w:val="both"/>
      </w:pPr>
      <w:r>
        <w:t>4</w:t>
      </w:r>
      <w:r>
        <w:tab/>
        <w:t>Stellenvermerk</w:t>
      </w:r>
      <w:r w:rsidR="00CA1B8B">
        <w:t>e</w:t>
      </w:r>
    </w:p>
    <w:p w:rsidR="00CA1B8B" w:rsidRPr="00CA1B8B" w:rsidRDefault="00CA1B8B" w:rsidP="00CA1B8B">
      <w:r>
        <w:t>-</w:t>
      </w:r>
    </w:p>
    <w:sectPr w:rsidR="00CA1B8B" w:rsidRPr="00CA1B8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FF" w:rsidRDefault="00F91BFF">
      <w:r>
        <w:separator/>
      </w:r>
    </w:p>
  </w:endnote>
  <w:endnote w:type="continuationSeparator" w:id="0">
    <w:p w:rsidR="00F91BFF" w:rsidRDefault="00F9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Condensed">
    <w:altName w:val="Interstate Light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FF" w:rsidRDefault="00F91BFF">
      <w:r>
        <w:separator/>
      </w:r>
    </w:p>
  </w:footnote>
  <w:footnote w:type="continuationSeparator" w:id="0">
    <w:p w:rsidR="00F91BFF" w:rsidRDefault="00F91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FF" w:rsidRDefault="00F91BF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A13C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A13C7">
      <w:rPr>
        <w:rStyle w:val="Seitenzahl"/>
      </w:rPr>
      <w:fldChar w:fldCharType="separate"/>
    </w:r>
    <w:r w:rsidR="0057483F">
      <w:rPr>
        <w:rStyle w:val="Seitenzahl"/>
        <w:noProof/>
      </w:rPr>
      <w:t>2</w:t>
    </w:r>
    <w:r w:rsidR="00BA13C7">
      <w:rPr>
        <w:rStyle w:val="Seitenzahl"/>
      </w:rPr>
      <w:fldChar w:fldCharType="end"/>
    </w:r>
    <w:r>
      <w:rPr>
        <w:rStyle w:val="Seitenzahl"/>
      </w:rPr>
      <w:t xml:space="preserve"> -</w:t>
    </w:r>
  </w:p>
  <w:p w:rsidR="00F91BFF" w:rsidRDefault="00F91B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B9C4831"/>
    <w:multiLevelType w:val="hybridMultilevel"/>
    <w:tmpl w:val="93327E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576B67E3"/>
    <w:multiLevelType w:val="hybridMultilevel"/>
    <w:tmpl w:val="8E107E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3E90"/>
    <w:rsid w:val="00047E5A"/>
    <w:rsid w:val="00065F09"/>
    <w:rsid w:val="000660AE"/>
    <w:rsid w:val="00082927"/>
    <w:rsid w:val="000853EC"/>
    <w:rsid w:val="000A1146"/>
    <w:rsid w:val="000A206D"/>
    <w:rsid w:val="000B0823"/>
    <w:rsid w:val="000D0601"/>
    <w:rsid w:val="000E36F3"/>
    <w:rsid w:val="000F1202"/>
    <w:rsid w:val="000F4538"/>
    <w:rsid w:val="0011112B"/>
    <w:rsid w:val="0014415D"/>
    <w:rsid w:val="0014518B"/>
    <w:rsid w:val="0015052E"/>
    <w:rsid w:val="00163034"/>
    <w:rsid w:val="00165C0D"/>
    <w:rsid w:val="0017575C"/>
    <w:rsid w:val="0017767F"/>
    <w:rsid w:val="00181857"/>
    <w:rsid w:val="00184EDC"/>
    <w:rsid w:val="00191029"/>
    <w:rsid w:val="00194770"/>
    <w:rsid w:val="001A5F9B"/>
    <w:rsid w:val="001C7696"/>
    <w:rsid w:val="001F1823"/>
    <w:rsid w:val="001F7237"/>
    <w:rsid w:val="00236C2C"/>
    <w:rsid w:val="00242D90"/>
    <w:rsid w:val="002673A3"/>
    <w:rsid w:val="002924CB"/>
    <w:rsid w:val="002A20D1"/>
    <w:rsid w:val="002B5955"/>
    <w:rsid w:val="002D0AB2"/>
    <w:rsid w:val="0030678F"/>
    <w:rsid w:val="00316B3A"/>
    <w:rsid w:val="00351C7E"/>
    <w:rsid w:val="00375F22"/>
    <w:rsid w:val="00380937"/>
    <w:rsid w:val="0039410B"/>
    <w:rsid w:val="003A663C"/>
    <w:rsid w:val="003B5E45"/>
    <w:rsid w:val="003C2399"/>
    <w:rsid w:val="003D4A28"/>
    <w:rsid w:val="003D73BF"/>
    <w:rsid w:val="003D7B0B"/>
    <w:rsid w:val="003F7EBF"/>
    <w:rsid w:val="00400DB9"/>
    <w:rsid w:val="00402D97"/>
    <w:rsid w:val="00412E9D"/>
    <w:rsid w:val="00425241"/>
    <w:rsid w:val="00470135"/>
    <w:rsid w:val="0047606A"/>
    <w:rsid w:val="004908B5"/>
    <w:rsid w:val="0049121B"/>
    <w:rsid w:val="004A1688"/>
    <w:rsid w:val="004B0A8C"/>
    <w:rsid w:val="004B6796"/>
    <w:rsid w:val="004B7D18"/>
    <w:rsid w:val="004C1DD2"/>
    <w:rsid w:val="004C5384"/>
    <w:rsid w:val="004D0C19"/>
    <w:rsid w:val="004D57F7"/>
    <w:rsid w:val="004F5D5E"/>
    <w:rsid w:val="0052238C"/>
    <w:rsid w:val="0057483F"/>
    <w:rsid w:val="00591B19"/>
    <w:rsid w:val="005A0A9D"/>
    <w:rsid w:val="005A56AA"/>
    <w:rsid w:val="005C561A"/>
    <w:rsid w:val="005E19C6"/>
    <w:rsid w:val="005E5456"/>
    <w:rsid w:val="005F5B3D"/>
    <w:rsid w:val="00606F80"/>
    <w:rsid w:val="006121FE"/>
    <w:rsid w:val="00627671"/>
    <w:rsid w:val="00630FE6"/>
    <w:rsid w:val="00666A48"/>
    <w:rsid w:val="00676B39"/>
    <w:rsid w:val="006926B0"/>
    <w:rsid w:val="006958CE"/>
    <w:rsid w:val="006A10F4"/>
    <w:rsid w:val="006A3EC4"/>
    <w:rsid w:val="006B6D50"/>
    <w:rsid w:val="006C3FC4"/>
    <w:rsid w:val="006C7B36"/>
    <w:rsid w:val="006E0575"/>
    <w:rsid w:val="006E77D3"/>
    <w:rsid w:val="006F7E88"/>
    <w:rsid w:val="00701446"/>
    <w:rsid w:val="00710DBD"/>
    <w:rsid w:val="007156DB"/>
    <w:rsid w:val="00754659"/>
    <w:rsid w:val="007C43E3"/>
    <w:rsid w:val="007C4B03"/>
    <w:rsid w:val="007D4561"/>
    <w:rsid w:val="007E3B79"/>
    <w:rsid w:val="007E45FD"/>
    <w:rsid w:val="008007F3"/>
    <w:rsid w:val="008066EE"/>
    <w:rsid w:val="00817BB6"/>
    <w:rsid w:val="00853637"/>
    <w:rsid w:val="0086119F"/>
    <w:rsid w:val="00866B68"/>
    <w:rsid w:val="00872F3C"/>
    <w:rsid w:val="00884D6C"/>
    <w:rsid w:val="008C0923"/>
    <w:rsid w:val="008D3248"/>
    <w:rsid w:val="008E438F"/>
    <w:rsid w:val="008F0B34"/>
    <w:rsid w:val="0090687E"/>
    <w:rsid w:val="0094020D"/>
    <w:rsid w:val="009509B0"/>
    <w:rsid w:val="00966DD1"/>
    <w:rsid w:val="00973B9D"/>
    <w:rsid w:val="00976588"/>
    <w:rsid w:val="0099663A"/>
    <w:rsid w:val="009C4079"/>
    <w:rsid w:val="009C4CDB"/>
    <w:rsid w:val="009D42AB"/>
    <w:rsid w:val="00A279CB"/>
    <w:rsid w:val="00A27CA7"/>
    <w:rsid w:val="00A27CD5"/>
    <w:rsid w:val="00A43241"/>
    <w:rsid w:val="00A56FAE"/>
    <w:rsid w:val="00A71D0A"/>
    <w:rsid w:val="00A77F1E"/>
    <w:rsid w:val="00A848DA"/>
    <w:rsid w:val="00AA1827"/>
    <w:rsid w:val="00AB0845"/>
    <w:rsid w:val="00AB2C3A"/>
    <w:rsid w:val="00AC0E3F"/>
    <w:rsid w:val="00AD16CB"/>
    <w:rsid w:val="00AE021B"/>
    <w:rsid w:val="00B04290"/>
    <w:rsid w:val="00B62FA5"/>
    <w:rsid w:val="00B74BF9"/>
    <w:rsid w:val="00B80DEF"/>
    <w:rsid w:val="00BA13C7"/>
    <w:rsid w:val="00BB405A"/>
    <w:rsid w:val="00BC4669"/>
    <w:rsid w:val="00BE037D"/>
    <w:rsid w:val="00BF3232"/>
    <w:rsid w:val="00BF61D1"/>
    <w:rsid w:val="00BF6DD6"/>
    <w:rsid w:val="00C16EF1"/>
    <w:rsid w:val="00C326AB"/>
    <w:rsid w:val="00C448D3"/>
    <w:rsid w:val="00C65CFA"/>
    <w:rsid w:val="00C940A6"/>
    <w:rsid w:val="00C94A7E"/>
    <w:rsid w:val="00CA1B8B"/>
    <w:rsid w:val="00CB1913"/>
    <w:rsid w:val="00CD2400"/>
    <w:rsid w:val="00D00D7B"/>
    <w:rsid w:val="00D10862"/>
    <w:rsid w:val="00D15C36"/>
    <w:rsid w:val="00D43DE4"/>
    <w:rsid w:val="00D6111A"/>
    <w:rsid w:val="00D762F4"/>
    <w:rsid w:val="00DA5701"/>
    <w:rsid w:val="00DB3D6C"/>
    <w:rsid w:val="00DB62C9"/>
    <w:rsid w:val="00DB6B63"/>
    <w:rsid w:val="00DC1168"/>
    <w:rsid w:val="00DD3203"/>
    <w:rsid w:val="00DE041C"/>
    <w:rsid w:val="00DF62AC"/>
    <w:rsid w:val="00E014B6"/>
    <w:rsid w:val="00E05590"/>
    <w:rsid w:val="00E1162F"/>
    <w:rsid w:val="00E11D5F"/>
    <w:rsid w:val="00E20E1F"/>
    <w:rsid w:val="00E35162"/>
    <w:rsid w:val="00E47632"/>
    <w:rsid w:val="00E64940"/>
    <w:rsid w:val="00E7118F"/>
    <w:rsid w:val="00E743A1"/>
    <w:rsid w:val="00E84064"/>
    <w:rsid w:val="00E84367"/>
    <w:rsid w:val="00E92A83"/>
    <w:rsid w:val="00EA7BF4"/>
    <w:rsid w:val="00EC2DA4"/>
    <w:rsid w:val="00EC44EC"/>
    <w:rsid w:val="00EF718D"/>
    <w:rsid w:val="00F010F5"/>
    <w:rsid w:val="00F27657"/>
    <w:rsid w:val="00F342DC"/>
    <w:rsid w:val="00F60C42"/>
    <w:rsid w:val="00F63041"/>
    <w:rsid w:val="00F645C3"/>
    <w:rsid w:val="00F76452"/>
    <w:rsid w:val="00F91BFF"/>
    <w:rsid w:val="00FB04DA"/>
    <w:rsid w:val="00FC3F53"/>
    <w:rsid w:val="00FC4249"/>
    <w:rsid w:val="00FD59F8"/>
    <w:rsid w:val="00FD6B46"/>
    <w:rsid w:val="00FE67B0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66DD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66DD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66DD1"/>
    <w:rPr>
      <w:sz w:val="16"/>
    </w:rPr>
  </w:style>
  <w:style w:type="paragraph" w:styleId="Kommentartext">
    <w:name w:val="annotation text"/>
    <w:basedOn w:val="Standard"/>
    <w:semiHidden/>
    <w:rsid w:val="00966DD1"/>
    <w:rPr>
      <w:sz w:val="20"/>
    </w:rPr>
  </w:style>
  <w:style w:type="paragraph" w:styleId="Fuzeile">
    <w:name w:val="footer"/>
    <w:basedOn w:val="Standard"/>
    <w:rsid w:val="00966DD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966DD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7C4B03"/>
    <w:pPr>
      <w:autoSpaceDE w:val="0"/>
      <w:autoSpaceDN w:val="0"/>
      <w:adjustRightInd w:val="0"/>
    </w:pPr>
    <w:rPr>
      <w:rFonts w:ascii="Interstate LightCondensed" w:hAnsi="Interstate LightCondensed" w:cs="Interstate LightCondense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u103042</cp:lastModifiedBy>
  <cp:revision>7</cp:revision>
  <cp:lastPrinted>2016-10-12T11:58:00Z</cp:lastPrinted>
  <dcterms:created xsi:type="dcterms:W3CDTF">2016-09-07T12:24:00Z</dcterms:created>
  <dcterms:modified xsi:type="dcterms:W3CDTF">2016-11-10T13:01:00Z</dcterms:modified>
</cp:coreProperties>
</file>