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5D" w:rsidRPr="00274776" w:rsidRDefault="00E05B7F" w:rsidP="00274776">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r w:rsidR="00274776" w:rsidRPr="00274776">
        <w:rPr>
          <w:rFonts w:ascii="Arial" w:hAnsi="Arial" w:cs="Arial"/>
          <w:sz w:val="24"/>
          <w:szCs w:val="24"/>
        </w:rPr>
        <w:tab/>
      </w:r>
      <w:r w:rsidR="00274776" w:rsidRPr="00274776">
        <w:rPr>
          <w:rFonts w:ascii="Arial" w:hAnsi="Arial" w:cs="Arial"/>
          <w:sz w:val="24"/>
          <w:szCs w:val="24"/>
        </w:rPr>
        <w:tab/>
      </w:r>
      <w:r w:rsidR="00274776" w:rsidRPr="00274776">
        <w:rPr>
          <w:rFonts w:ascii="Arial" w:hAnsi="Arial" w:cs="Arial"/>
          <w:sz w:val="24"/>
          <w:szCs w:val="24"/>
        </w:rPr>
        <w:tab/>
      </w:r>
      <w:r w:rsidR="003A7948">
        <w:rPr>
          <w:rFonts w:ascii="Arial" w:hAnsi="Arial" w:cs="Arial"/>
          <w:sz w:val="24"/>
          <w:szCs w:val="24"/>
        </w:rPr>
        <w:tab/>
      </w:r>
      <w:r w:rsidR="003A7948">
        <w:rPr>
          <w:rFonts w:ascii="Arial" w:hAnsi="Arial" w:cs="Arial"/>
          <w:sz w:val="24"/>
          <w:szCs w:val="24"/>
        </w:rPr>
        <w:tab/>
      </w:r>
      <w:r w:rsidR="003A7948">
        <w:rPr>
          <w:rFonts w:ascii="Arial" w:hAnsi="Arial" w:cs="Arial"/>
          <w:sz w:val="24"/>
          <w:szCs w:val="24"/>
        </w:rPr>
        <w:tab/>
      </w:r>
      <w:r w:rsidR="00274776">
        <w:rPr>
          <w:rFonts w:ascii="Arial" w:hAnsi="Arial" w:cs="Arial"/>
          <w:sz w:val="24"/>
          <w:szCs w:val="24"/>
        </w:rPr>
        <w:t xml:space="preserve">Anlage </w:t>
      </w:r>
      <w:r w:rsidR="00CB5897">
        <w:rPr>
          <w:rFonts w:ascii="Arial" w:hAnsi="Arial" w:cs="Arial"/>
          <w:sz w:val="24"/>
          <w:szCs w:val="24"/>
        </w:rPr>
        <w:t>2</w:t>
      </w:r>
      <w:r w:rsidR="003A7948">
        <w:rPr>
          <w:rFonts w:ascii="Arial" w:hAnsi="Arial" w:cs="Arial"/>
          <w:sz w:val="24"/>
          <w:szCs w:val="24"/>
        </w:rPr>
        <w:t xml:space="preserve"> zu GRDrs </w:t>
      </w:r>
      <w:r w:rsidR="004A1AED">
        <w:rPr>
          <w:rFonts w:ascii="Arial" w:hAnsi="Arial" w:cs="Arial"/>
          <w:sz w:val="24"/>
          <w:szCs w:val="24"/>
        </w:rPr>
        <w:t>303/2016</w:t>
      </w:r>
    </w:p>
    <w:p w:rsidR="002A1EB0" w:rsidRDefault="002A1EB0" w:rsidP="009B598D">
      <w:pPr>
        <w:pStyle w:val="KeinLeerraum"/>
        <w:rPr>
          <w:rFonts w:ascii="Arial" w:hAnsi="Arial" w:cs="Arial"/>
          <w:sz w:val="24"/>
          <w:szCs w:val="24"/>
        </w:rPr>
      </w:pPr>
    </w:p>
    <w:p w:rsidR="002A1EB0" w:rsidRDefault="002A1EB0" w:rsidP="009B598D">
      <w:pPr>
        <w:pStyle w:val="KeinLeerraum"/>
        <w:rPr>
          <w:rFonts w:ascii="Arial" w:hAnsi="Arial" w:cs="Arial"/>
          <w:sz w:val="24"/>
          <w:szCs w:val="24"/>
        </w:rPr>
      </w:pPr>
    </w:p>
    <w:p w:rsidR="002A1EB0" w:rsidRPr="004260EF" w:rsidRDefault="004260EF" w:rsidP="004260EF">
      <w:pPr>
        <w:pStyle w:val="KeinLeerraum"/>
        <w:jc w:val="center"/>
        <w:rPr>
          <w:rFonts w:ascii="Arial" w:hAnsi="Arial" w:cs="Arial"/>
          <w:b/>
          <w:sz w:val="24"/>
          <w:szCs w:val="24"/>
        </w:rPr>
      </w:pPr>
      <w:r w:rsidRPr="004260EF">
        <w:rPr>
          <w:rFonts w:ascii="Arial" w:hAnsi="Arial" w:cs="Arial"/>
          <w:b/>
          <w:sz w:val="24"/>
          <w:szCs w:val="24"/>
        </w:rPr>
        <w:t>Synopse</w:t>
      </w:r>
    </w:p>
    <w:p w:rsidR="004352CB" w:rsidRDefault="002A1EB0" w:rsidP="004352CB">
      <w:pPr>
        <w:pStyle w:val="KeinLeerraum"/>
        <w:jc w:val="center"/>
        <w:rPr>
          <w:rFonts w:ascii="Arial" w:hAnsi="Arial" w:cs="Arial"/>
          <w:sz w:val="24"/>
          <w:szCs w:val="24"/>
        </w:rPr>
      </w:pPr>
      <w:r>
        <w:rPr>
          <w:rFonts w:ascii="Arial" w:hAnsi="Arial" w:cs="Arial"/>
          <w:sz w:val="24"/>
          <w:szCs w:val="24"/>
        </w:rPr>
        <w:t xml:space="preserve">Entgelte bei privater Benutzung </w:t>
      </w:r>
    </w:p>
    <w:p w:rsidR="004352CB" w:rsidRDefault="002A1EB0" w:rsidP="004352CB">
      <w:pPr>
        <w:pStyle w:val="KeinLeerraum"/>
        <w:jc w:val="center"/>
        <w:rPr>
          <w:rFonts w:ascii="Arial" w:hAnsi="Arial" w:cs="Arial"/>
          <w:sz w:val="24"/>
          <w:szCs w:val="24"/>
        </w:rPr>
      </w:pPr>
      <w:r>
        <w:rPr>
          <w:rFonts w:ascii="Arial" w:hAnsi="Arial" w:cs="Arial"/>
          <w:sz w:val="24"/>
          <w:szCs w:val="24"/>
        </w:rPr>
        <w:t xml:space="preserve">des öffentlichen Straßenraumes (§ 21 </w:t>
      </w:r>
      <w:proofErr w:type="spellStart"/>
      <w:r>
        <w:rPr>
          <w:rFonts w:ascii="Arial" w:hAnsi="Arial" w:cs="Arial"/>
          <w:sz w:val="24"/>
          <w:szCs w:val="24"/>
        </w:rPr>
        <w:t>StrG</w:t>
      </w:r>
      <w:proofErr w:type="spellEnd"/>
      <w:r>
        <w:rPr>
          <w:rFonts w:ascii="Arial" w:hAnsi="Arial" w:cs="Arial"/>
          <w:sz w:val="24"/>
          <w:szCs w:val="24"/>
        </w:rPr>
        <w:t xml:space="preserve"> BW) </w:t>
      </w:r>
    </w:p>
    <w:p w:rsidR="002A1EB0" w:rsidRDefault="002A1EB0" w:rsidP="004352CB">
      <w:pPr>
        <w:pStyle w:val="KeinLeerraum"/>
        <w:jc w:val="center"/>
        <w:rPr>
          <w:rFonts w:ascii="Arial" w:hAnsi="Arial" w:cs="Arial"/>
          <w:sz w:val="24"/>
          <w:szCs w:val="24"/>
        </w:rPr>
      </w:pPr>
      <w:r>
        <w:rPr>
          <w:rFonts w:ascii="Arial" w:hAnsi="Arial" w:cs="Arial"/>
          <w:sz w:val="24"/>
          <w:szCs w:val="24"/>
        </w:rPr>
        <w:t xml:space="preserve">und der öffentlichen Gewässer (§ </w:t>
      </w:r>
      <w:r w:rsidR="0014461B">
        <w:rPr>
          <w:rFonts w:ascii="Arial" w:hAnsi="Arial" w:cs="Arial"/>
          <w:sz w:val="24"/>
          <w:szCs w:val="24"/>
        </w:rPr>
        <w:t>6</w:t>
      </w:r>
      <w:r>
        <w:rPr>
          <w:rFonts w:ascii="Arial" w:hAnsi="Arial" w:cs="Arial"/>
          <w:sz w:val="24"/>
          <w:szCs w:val="24"/>
        </w:rPr>
        <w:t xml:space="preserve"> WG)</w:t>
      </w:r>
    </w:p>
    <w:p w:rsidR="002A1EB0" w:rsidRDefault="002A1EB0" w:rsidP="009B598D">
      <w:pPr>
        <w:pStyle w:val="KeinLeerraum"/>
        <w:rPr>
          <w:rFonts w:ascii="Arial" w:hAnsi="Arial" w:cs="Arial"/>
          <w:sz w:val="24"/>
          <w:szCs w:val="24"/>
        </w:rPr>
      </w:pPr>
    </w:p>
    <w:p w:rsidR="002A1EB0" w:rsidRPr="007144E8" w:rsidRDefault="007144E8" w:rsidP="002A1EB0">
      <w:pPr>
        <w:pStyle w:val="KeinLeerraum"/>
        <w:rPr>
          <w:rFonts w:ascii="Arial" w:hAnsi="Arial" w:cs="Arial"/>
          <w:sz w:val="20"/>
          <w:szCs w:val="20"/>
        </w:rPr>
      </w:pPr>
      <w:r w:rsidRPr="007144E8">
        <w:rPr>
          <w:rFonts w:ascii="Arial" w:hAnsi="Arial" w:cs="Arial"/>
          <w:sz w:val="20"/>
          <w:szCs w:val="20"/>
        </w:rPr>
        <w:t>alt: Stand 31.12.2015, Entgeltverzeichnis 2010 (schwarze Schrift)</w:t>
      </w:r>
    </w:p>
    <w:p w:rsidR="007144E8" w:rsidRPr="007144E8" w:rsidRDefault="007144E8" w:rsidP="002A1EB0">
      <w:pPr>
        <w:pStyle w:val="KeinLeerraum"/>
        <w:rPr>
          <w:rFonts w:ascii="Arial" w:hAnsi="Arial" w:cs="Arial"/>
          <w:sz w:val="20"/>
          <w:szCs w:val="20"/>
        </w:rPr>
      </w:pPr>
      <w:r w:rsidRPr="007144E8">
        <w:rPr>
          <w:rFonts w:ascii="Arial" w:hAnsi="Arial" w:cs="Arial"/>
          <w:sz w:val="20"/>
          <w:szCs w:val="20"/>
        </w:rPr>
        <w:t>neu: Stand 01.01.2016, neues Entgeltverzeichnis GRDrs 303/2016 (rote Schrift)</w:t>
      </w:r>
    </w:p>
    <w:p w:rsidR="007144E8" w:rsidRPr="007144E8" w:rsidRDefault="007144E8" w:rsidP="002A1EB0">
      <w:pPr>
        <w:pStyle w:val="KeinLeerraum"/>
        <w:rPr>
          <w:rFonts w:ascii="Arial" w:hAnsi="Arial" w:cs="Arial"/>
          <w:sz w:val="20"/>
          <w:szCs w:val="20"/>
        </w:rPr>
      </w:pPr>
      <w:r w:rsidRPr="007144E8">
        <w:rPr>
          <w:rFonts w:ascii="Arial" w:hAnsi="Arial" w:cs="Arial"/>
          <w:sz w:val="20"/>
          <w:szCs w:val="20"/>
        </w:rPr>
        <w:t>die materiellen Änderung aus Ziffer 1.2 der Begründung sind durch unterstreichen und gelbe Markierung kenntlich gemacht.</w:t>
      </w:r>
    </w:p>
    <w:p w:rsidR="007144E8" w:rsidRDefault="007144E8" w:rsidP="002A1EB0">
      <w:pPr>
        <w:pStyle w:val="KeinLeerraum"/>
        <w:rPr>
          <w:rFonts w:ascii="Arial" w:hAnsi="Arial" w:cs="Arial"/>
          <w:sz w:val="24"/>
          <w:szCs w:val="24"/>
        </w:rPr>
      </w:pPr>
    </w:p>
    <w:tbl>
      <w:tblPr>
        <w:tblStyle w:val="Tabellengitternetz"/>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
        <w:gridCol w:w="3185"/>
        <w:gridCol w:w="247"/>
        <w:gridCol w:w="1737"/>
        <w:gridCol w:w="375"/>
        <w:gridCol w:w="50"/>
        <w:gridCol w:w="1560"/>
        <w:gridCol w:w="220"/>
        <w:gridCol w:w="1055"/>
        <w:gridCol w:w="236"/>
      </w:tblGrid>
      <w:tr w:rsidR="00847F1C" w:rsidTr="00EE4B9D">
        <w:trPr>
          <w:trHeight w:val="487"/>
        </w:trPr>
        <w:tc>
          <w:tcPr>
            <w:tcW w:w="751" w:type="dxa"/>
          </w:tcPr>
          <w:p w:rsidR="00847F1C" w:rsidRPr="002A1EB0" w:rsidRDefault="00847F1C" w:rsidP="002A1EB0">
            <w:pPr>
              <w:pStyle w:val="KeinLeerraum"/>
              <w:rPr>
                <w:rFonts w:ascii="Arial" w:hAnsi="Arial" w:cs="Arial"/>
                <w:sz w:val="24"/>
                <w:szCs w:val="24"/>
              </w:rPr>
            </w:pPr>
            <w:r>
              <w:rPr>
                <w:rFonts w:ascii="Arial" w:hAnsi="Arial" w:cs="Arial"/>
                <w:sz w:val="24"/>
                <w:szCs w:val="24"/>
              </w:rPr>
              <w:t>1.</w:t>
            </w:r>
          </w:p>
        </w:tc>
        <w:tc>
          <w:tcPr>
            <w:tcW w:w="3432" w:type="dxa"/>
            <w:gridSpan w:val="2"/>
          </w:tcPr>
          <w:p w:rsidR="00847F1C" w:rsidRDefault="00847F1C" w:rsidP="002A1EB0">
            <w:pPr>
              <w:pStyle w:val="KeinLeerraum"/>
              <w:rPr>
                <w:rFonts w:ascii="Arial" w:hAnsi="Arial" w:cs="Arial"/>
                <w:sz w:val="24"/>
                <w:szCs w:val="24"/>
                <w:u w:val="single"/>
              </w:rPr>
            </w:pPr>
            <w:r w:rsidRPr="002D08BB">
              <w:rPr>
                <w:rFonts w:ascii="Arial" w:hAnsi="Arial" w:cs="Arial"/>
                <w:sz w:val="24"/>
                <w:szCs w:val="24"/>
                <w:u w:val="single"/>
              </w:rPr>
              <w:t>Entgelte</w:t>
            </w:r>
          </w:p>
          <w:p w:rsidR="00847F1C" w:rsidRPr="002D08BB" w:rsidRDefault="00847F1C" w:rsidP="002A1EB0">
            <w:pPr>
              <w:pStyle w:val="KeinLeerraum"/>
              <w:rPr>
                <w:rFonts w:ascii="Arial" w:hAnsi="Arial" w:cs="Arial"/>
                <w:sz w:val="24"/>
                <w:szCs w:val="24"/>
                <w:u w:val="single"/>
              </w:rPr>
            </w:pPr>
          </w:p>
        </w:tc>
        <w:tc>
          <w:tcPr>
            <w:tcW w:w="2162" w:type="dxa"/>
            <w:gridSpan w:val="3"/>
          </w:tcPr>
          <w:p w:rsidR="00847F1C" w:rsidRDefault="00847F1C" w:rsidP="008044BD">
            <w:pPr>
              <w:pStyle w:val="KeinLeerraum"/>
              <w:jc w:val="center"/>
              <w:rPr>
                <w:rFonts w:ascii="Arial" w:hAnsi="Arial" w:cs="Arial"/>
                <w:sz w:val="24"/>
                <w:szCs w:val="24"/>
              </w:rPr>
            </w:pPr>
            <w:r>
              <w:rPr>
                <w:rFonts w:ascii="Arial" w:hAnsi="Arial" w:cs="Arial"/>
                <w:sz w:val="24"/>
                <w:szCs w:val="24"/>
              </w:rPr>
              <w:t>Entgelt alt</w:t>
            </w:r>
          </w:p>
        </w:tc>
        <w:tc>
          <w:tcPr>
            <w:tcW w:w="3071" w:type="dxa"/>
            <w:gridSpan w:val="4"/>
          </w:tcPr>
          <w:p w:rsidR="00847F1C" w:rsidRDefault="00847F1C" w:rsidP="00847F1C">
            <w:pPr>
              <w:pStyle w:val="KeinLeerraum"/>
              <w:jc w:val="center"/>
              <w:rPr>
                <w:rFonts w:ascii="Arial" w:hAnsi="Arial" w:cs="Arial"/>
                <w:sz w:val="24"/>
                <w:szCs w:val="24"/>
              </w:rPr>
            </w:pPr>
            <w:r w:rsidRPr="00847F1C">
              <w:rPr>
                <w:rFonts w:ascii="Arial" w:hAnsi="Arial" w:cs="Arial"/>
                <w:color w:val="FF0000"/>
                <w:sz w:val="24"/>
                <w:szCs w:val="24"/>
              </w:rPr>
              <w:t>Entgelt neu</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1.1</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Leitungen, Überspannungen, Leerrohre, nicht begehbare Kanäle (Medienkanäle u.</w:t>
            </w:r>
            <w:r w:rsidR="006D752C">
              <w:rPr>
                <w:rFonts w:ascii="Arial" w:hAnsi="Arial" w:cs="Arial"/>
                <w:sz w:val="24"/>
                <w:szCs w:val="24"/>
              </w:rPr>
              <w:t xml:space="preserve"> </w:t>
            </w:r>
            <w:r>
              <w:rPr>
                <w:rFonts w:ascii="Arial" w:hAnsi="Arial" w:cs="Arial"/>
                <w:sz w:val="24"/>
                <w:szCs w:val="24"/>
              </w:rPr>
              <w:t>Ä.)</w:t>
            </w:r>
          </w:p>
          <w:p w:rsidR="00C00203" w:rsidRDefault="008044BD" w:rsidP="0055025D">
            <w:pPr>
              <w:pStyle w:val="KeinLeerraum"/>
              <w:rPr>
                <w:rFonts w:ascii="Arial" w:hAnsi="Arial" w:cs="Arial"/>
                <w:sz w:val="24"/>
                <w:szCs w:val="24"/>
              </w:rPr>
            </w:pPr>
            <w:r>
              <w:rPr>
                <w:rFonts w:ascii="Arial" w:hAnsi="Arial" w:cs="Arial"/>
                <w:sz w:val="24"/>
                <w:szCs w:val="24"/>
              </w:rPr>
              <w:t xml:space="preserve">je </w:t>
            </w:r>
            <w:proofErr w:type="spellStart"/>
            <w:r>
              <w:rPr>
                <w:rFonts w:ascii="Arial" w:hAnsi="Arial" w:cs="Arial"/>
                <w:sz w:val="24"/>
                <w:szCs w:val="24"/>
              </w:rPr>
              <w:t>angef</w:t>
            </w:r>
            <w:proofErr w:type="spellEnd"/>
            <w:r>
              <w:rPr>
                <w:rFonts w:ascii="Arial" w:hAnsi="Arial" w:cs="Arial"/>
                <w:sz w:val="24"/>
                <w:szCs w:val="24"/>
              </w:rPr>
              <w:t xml:space="preserve">. </w:t>
            </w:r>
            <w:r w:rsidR="004F07C8">
              <w:rPr>
                <w:rFonts w:ascii="Arial" w:hAnsi="Arial" w:cs="Arial"/>
                <w:sz w:val="24"/>
                <w:szCs w:val="24"/>
              </w:rPr>
              <w:t>l</w:t>
            </w:r>
            <w:r>
              <w:rPr>
                <w:rFonts w:ascii="Arial" w:hAnsi="Arial" w:cs="Arial"/>
                <w:sz w:val="24"/>
                <w:szCs w:val="24"/>
              </w:rPr>
              <w:t>fd. Meter und Anzahl</w:t>
            </w:r>
          </w:p>
          <w:p w:rsidR="008044BD" w:rsidRDefault="008044BD" w:rsidP="0055025D">
            <w:pPr>
              <w:pStyle w:val="KeinLeerraum"/>
              <w:rPr>
                <w:rFonts w:ascii="Arial" w:hAnsi="Arial" w:cs="Arial"/>
                <w:sz w:val="24"/>
                <w:szCs w:val="24"/>
              </w:rPr>
            </w:pPr>
            <w:r>
              <w:rPr>
                <w:rFonts w:ascii="Arial" w:hAnsi="Arial" w:cs="Arial"/>
                <w:sz w:val="24"/>
                <w:szCs w:val="24"/>
              </w:rPr>
              <w:t>mindestens</w:t>
            </w:r>
          </w:p>
          <w:p w:rsidR="008044BD" w:rsidRDefault="008044BD" w:rsidP="0055025D">
            <w:pPr>
              <w:pStyle w:val="KeinLeerraum"/>
              <w:rPr>
                <w:rFonts w:ascii="Arial" w:hAnsi="Arial" w:cs="Arial"/>
                <w:sz w:val="24"/>
                <w:szCs w:val="24"/>
              </w:rPr>
            </w:pPr>
            <w:r>
              <w:rPr>
                <w:rFonts w:ascii="Arial" w:hAnsi="Arial" w:cs="Arial"/>
                <w:sz w:val="24"/>
                <w:szCs w:val="24"/>
              </w:rPr>
              <w:t>höchstens</w:t>
            </w:r>
          </w:p>
          <w:p w:rsidR="008044BD" w:rsidRDefault="008044BD" w:rsidP="0055025D">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C00203" w:rsidRDefault="00C00203"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 xml:space="preserve">2,00 </w:t>
            </w:r>
            <w:r w:rsidR="00B26794">
              <w:rPr>
                <w:rFonts w:ascii="Arial" w:hAnsi="Arial" w:cs="Arial"/>
                <w:sz w:val="24"/>
                <w:szCs w:val="24"/>
              </w:rPr>
              <w:t>EUR</w:t>
            </w:r>
          </w:p>
          <w:p w:rsidR="008044BD" w:rsidRDefault="00B26794" w:rsidP="002A1EB0">
            <w:pPr>
              <w:pStyle w:val="KeinLeerraum"/>
              <w:jc w:val="right"/>
              <w:rPr>
                <w:rFonts w:ascii="Arial" w:hAnsi="Arial" w:cs="Arial"/>
                <w:sz w:val="24"/>
                <w:szCs w:val="24"/>
              </w:rPr>
            </w:pPr>
            <w:r>
              <w:rPr>
                <w:rFonts w:ascii="Arial" w:hAnsi="Arial" w:cs="Arial"/>
                <w:sz w:val="24"/>
                <w:szCs w:val="24"/>
              </w:rPr>
              <w:t>30,00 EUR</w:t>
            </w:r>
          </w:p>
          <w:p w:rsidR="008044BD" w:rsidRDefault="00B26794" w:rsidP="002A1EB0">
            <w:pPr>
              <w:pStyle w:val="KeinLeerraum"/>
              <w:jc w:val="right"/>
              <w:rPr>
                <w:rFonts w:ascii="Arial" w:hAnsi="Arial" w:cs="Arial"/>
                <w:sz w:val="24"/>
                <w:szCs w:val="24"/>
              </w:rPr>
            </w:pPr>
            <w:r>
              <w:rPr>
                <w:rFonts w:ascii="Arial" w:hAnsi="Arial" w:cs="Arial"/>
                <w:sz w:val="24"/>
                <w:szCs w:val="24"/>
              </w:rPr>
              <w:t>2.000,00 EUR</w:t>
            </w:r>
          </w:p>
          <w:p w:rsidR="008044BD" w:rsidRDefault="008044BD" w:rsidP="002A1EB0">
            <w:pPr>
              <w:pStyle w:val="KeinLeerraum"/>
              <w:jc w:val="right"/>
              <w:rPr>
                <w:rFonts w:ascii="Arial" w:hAnsi="Arial" w:cs="Arial"/>
                <w:sz w:val="24"/>
                <w:szCs w:val="24"/>
              </w:rPr>
            </w:pP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p>
          <w:p w:rsidR="00C00203" w:rsidRDefault="00C00203"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2,20 </w:t>
            </w:r>
            <w:r w:rsidR="00E05B7F">
              <w:rPr>
                <w:rFonts w:ascii="Arial" w:hAnsi="Arial" w:cs="Arial"/>
                <w:color w:val="FF0000"/>
                <w:sz w:val="24"/>
                <w:szCs w:val="24"/>
              </w:rPr>
              <w:t>EUR</w:t>
            </w:r>
          </w:p>
          <w:p w:rsidR="008044BD" w:rsidRPr="00847F1C" w:rsidRDefault="00E05B7F" w:rsidP="002A1EB0">
            <w:pPr>
              <w:pStyle w:val="KeinLeerraum"/>
              <w:jc w:val="right"/>
              <w:rPr>
                <w:rFonts w:ascii="Arial" w:hAnsi="Arial" w:cs="Arial"/>
                <w:color w:val="FF0000"/>
                <w:sz w:val="24"/>
                <w:szCs w:val="24"/>
              </w:rPr>
            </w:pPr>
            <w:r>
              <w:rPr>
                <w:rFonts w:ascii="Arial" w:hAnsi="Arial" w:cs="Arial"/>
                <w:color w:val="FF0000"/>
                <w:sz w:val="24"/>
                <w:szCs w:val="24"/>
              </w:rPr>
              <w:t>33,00 EUR</w:t>
            </w: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2.200,00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C00203" w:rsidRDefault="00C00203"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1.2</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Inanspruchnahme städtische</w:t>
            </w:r>
            <w:r w:rsidR="007B58AD">
              <w:rPr>
                <w:rFonts w:ascii="Arial" w:hAnsi="Arial" w:cs="Arial"/>
                <w:sz w:val="24"/>
                <w:szCs w:val="24"/>
              </w:rPr>
              <w:t>r</w:t>
            </w:r>
            <w:r>
              <w:rPr>
                <w:rFonts w:ascii="Arial" w:hAnsi="Arial" w:cs="Arial"/>
                <w:sz w:val="24"/>
                <w:szCs w:val="24"/>
              </w:rPr>
              <w:t xml:space="preserve"> Leerrohre</w:t>
            </w:r>
          </w:p>
          <w:p w:rsidR="008044BD" w:rsidRDefault="008044BD" w:rsidP="002A1EB0">
            <w:pPr>
              <w:pStyle w:val="KeinLeerraum"/>
              <w:rPr>
                <w:rFonts w:ascii="Arial" w:hAnsi="Arial" w:cs="Arial"/>
                <w:sz w:val="24"/>
                <w:szCs w:val="24"/>
              </w:rPr>
            </w:pPr>
            <w:r>
              <w:rPr>
                <w:rFonts w:ascii="Arial" w:hAnsi="Arial" w:cs="Arial"/>
                <w:sz w:val="24"/>
                <w:szCs w:val="24"/>
              </w:rPr>
              <w:t xml:space="preserve">pro Segment je </w:t>
            </w:r>
            <w:proofErr w:type="spellStart"/>
            <w:r>
              <w:rPr>
                <w:rFonts w:ascii="Arial" w:hAnsi="Arial" w:cs="Arial"/>
                <w:sz w:val="24"/>
                <w:szCs w:val="24"/>
              </w:rPr>
              <w:t>angef</w:t>
            </w:r>
            <w:proofErr w:type="spellEnd"/>
            <w:r>
              <w:rPr>
                <w:rFonts w:ascii="Arial" w:hAnsi="Arial" w:cs="Arial"/>
                <w:sz w:val="24"/>
                <w:szCs w:val="24"/>
              </w:rPr>
              <w:t>. lfd. Meter</w:t>
            </w:r>
          </w:p>
          <w:p w:rsidR="008044BD" w:rsidRDefault="008044BD" w:rsidP="002A1EB0">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p>
          <w:p w:rsidR="00BD6A1D" w:rsidRDefault="00BD6A1D" w:rsidP="002A1EB0">
            <w:pPr>
              <w:pStyle w:val="KeinLeerraum"/>
              <w:jc w:val="right"/>
              <w:rPr>
                <w:rFonts w:ascii="Arial" w:hAnsi="Arial" w:cs="Arial"/>
                <w:sz w:val="24"/>
                <w:szCs w:val="24"/>
              </w:rPr>
            </w:pPr>
          </w:p>
          <w:p w:rsidR="007B58AD" w:rsidRDefault="007B58AD" w:rsidP="00B26794">
            <w:pPr>
              <w:pStyle w:val="KeinLeerraum"/>
              <w:jc w:val="right"/>
              <w:rPr>
                <w:rFonts w:ascii="Arial" w:hAnsi="Arial" w:cs="Arial"/>
                <w:sz w:val="24"/>
                <w:szCs w:val="24"/>
              </w:rPr>
            </w:pPr>
            <w:r>
              <w:rPr>
                <w:rFonts w:ascii="Arial" w:hAnsi="Arial" w:cs="Arial"/>
                <w:sz w:val="24"/>
                <w:szCs w:val="24"/>
              </w:rPr>
              <w:t xml:space="preserve">3,00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7B58AD" w:rsidRPr="00847F1C" w:rsidRDefault="007B58AD" w:rsidP="002A1EB0">
            <w:pPr>
              <w:pStyle w:val="KeinLeerraum"/>
              <w:jc w:val="right"/>
              <w:rPr>
                <w:rFonts w:ascii="Arial" w:hAnsi="Arial" w:cs="Arial"/>
                <w:color w:val="FF0000"/>
                <w:sz w:val="24"/>
                <w:szCs w:val="24"/>
              </w:rPr>
            </w:pPr>
          </w:p>
          <w:p w:rsidR="00BD6A1D" w:rsidRDefault="00BD6A1D" w:rsidP="002A1EB0">
            <w:pPr>
              <w:pStyle w:val="KeinLeerraum"/>
              <w:jc w:val="right"/>
              <w:rPr>
                <w:rFonts w:ascii="Arial" w:hAnsi="Arial" w:cs="Arial"/>
                <w:color w:val="FF0000"/>
                <w:sz w:val="24"/>
                <w:szCs w:val="24"/>
              </w:rPr>
            </w:pPr>
          </w:p>
          <w:p w:rsidR="008044BD" w:rsidRPr="00847F1C" w:rsidRDefault="008044BD" w:rsidP="00E05B7F">
            <w:pPr>
              <w:pStyle w:val="KeinLeerraum"/>
              <w:jc w:val="right"/>
              <w:rPr>
                <w:rFonts w:ascii="Arial" w:hAnsi="Arial" w:cs="Arial"/>
                <w:color w:val="FF0000"/>
                <w:sz w:val="24"/>
                <w:szCs w:val="24"/>
              </w:rPr>
            </w:pPr>
            <w:r w:rsidRPr="00847F1C">
              <w:rPr>
                <w:rFonts w:ascii="Arial" w:hAnsi="Arial" w:cs="Arial"/>
                <w:color w:val="FF0000"/>
                <w:sz w:val="24"/>
                <w:szCs w:val="24"/>
              </w:rPr>
              <w:t xml:space="preserve">3,30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p>
          <w:p w:rsidR="00BD6A1D" w:rsidRDefault="00BD6A1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1.3</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Sommerleitungen für priv. Zwecke</w:t>
            </w:r>
          </w:p>
          <w:p w:rsidR="008044BD" w:rsidRDefault="008044BD" w:rsidP="0055025D">
            <w:pPr>
              <w:pStyle w:val="KeinLeerraum"/>
              <w:rPr>
                <w:rFonts w:ascii="Arial" w:hAnsi="Arial" w:cs="Arial"/>
                <w:sz w:val="24"/>
                <w:szCs w:val="24"/>
              </w:rPr>
            </w:pPr>
            <w:r>
              <w:rPr>
                <w:rFonts w:ascii="Arial" w:hAnsi="Arial" w:cs="Arial"/>
                <w:sz w:val="24"/>
                <w:szCs w:val="24"/>
              </w:rPr>
              <w:t>bis 50 m</w:t>
            </w:r>
          </w:p>
          <w:p w:rsidR="008044BD" w:rsidRDefault="008044BD" w:rsidP="0055025D">
            <w:pPr>
              <w:pStyle w:val="KeinLeerraum"/>
              <w:rPr>
                <w:rFonts w:ascii="Arial" w:hAnsi="Arial" w:cs="Arial"/>
                <w:sz w:val="24"/>
                <w:szCs w:val="24"/>
              </w:rPr>
            </w:pPr>
            <w:r>
              <w:rPr>
                <w:rFonts w:ascii="Arial" w:hAnsi="Arial" w:cs="Arial"/>
                <w:sz w:val="24"/>
                <w:szCs w:val="24"/>
              </w:rPr>
              <w:t>über 50 bis 100 m</w:t>
            </w:r>
          </w:p>
          <w:p w:rsidR="008044BD" w:rsidRPr="007144E8" w:rsidRDefault="008044BD" w:rsidP="007144E8">
            <w:pPr>
              <w:pStyle w:val="KeinLeerraum"/>
              <w:shd w:val="clear" w:color="auto" w:fill="FFFF00"/>
              <w:rPr>
                <w:rFonts w:ascii="Arial" w:hAnsi="Arial" w:cs="Arial"/>
                <w:sz w:val="24"/>
                <w:szCs w:val="24"/>
                <w:u w:val="single"/>
              </w:rPr>
            </w:pPr>
            <w:r>
              <w:rPr>
                <w:rFonts w:ascii="Arial" w:hAnsi="Arial" w:cs="Arial"/>
                <w:sz w:val="24"/>
                <w:szCs w:val="24"/>
              </w:rPr>
              <w:t xml:space="preserve">über 100 </w:t>
            </w:r>
            <w:r w:rsidRPr="00782EB3">
              <w:rPr>
                <w:rFonts w:ascii="Arial" w:hAnsi="Arial" w:cs="Arial"/>
                <w:sz w:val="24"/>
                <w:szCs w:val="24"/>
              </w:rPr>
              <w:t xml:space="preserve">m </w:t>
            </w:r>
            <w:r w:rsidR="00554F9D" w:rsidRPr="00782EB3">
              <w:rPr>
                <w:rFonts w:ascii="Arial" w:hAnsi="Arial" w:cs="Arial"/>
                <w:sz w:val="24"/>
                <w:szCs w:val="24"/>
                <w:u w:val="single"/>
              </w:rPr>
              <w:t>zusätzlich</w:t>
            </w:r>
            <w:r w:rsidR="00554F9D" w:rsidRPr="00782EB3">
              <w:rPr>
                <w:rFonts w:ascii="Arial" w:hAnsi="Arial" w:cs="Arial"/>
                <w:sz w:val="24"/>
                <w:szCs w:val="24"/>
              </w:rPr>
              <w:t xml:space="preserve"> </w:t>
            </w:r>
            <w:r w:rsidRPr="00782EB3">
              <w:rPr>
                <w:rFonts w:ascii="Arial" w:hAnsi="Arial" w:cs="Arial"/>
                <w:sz w:val="24"/>
                <w:szCs w:val="24"/>
              </w:rPr>
              <w:t xml:space="preserve">je </w:t>
            </w:r>
            <w:proofErr w:type="spellStart"/>
            <w:r w:rsidRPr="00782EB3">
              <w:rPr>
                <w:rFonts w:ascii="Arial" w:hAnsi="Arial" w:cs="Arial"/>
                <w:sz w:val="24"/>
                <w:szCs w:val="24"/>
              </w:rPr>
              <w:t>angef</w:t>
            </w:r>
            <w:proofErr w:type="spellEnd"/>
            <w:r w:rsidRPr="00782EB3">
              <w:rPr>
                <w:rFonts w:ascii="Arial" w:hAnsi="Arial" w:cs="Arial"/>
                <w:sz w:val="24"/>
                <w:szCs w:val="24"/>
              </w:rPr>
              <w:t xml:space="preserve">. lfd. </w:t>
            </w:r>
            <w:r w:rsidR="00554F9D" w:rsidRPr="007144E8">
              <w:rPr>
                <w:rFonts w:ascii="Arial" w:hAnsi="Arial" w:cs="Arial"/>
                <w:sz w:val="24"/>
                <w:szCs w:val="24"/>
                <w:u w:val="single"/>
              </w:rPr>
              <w:t>10</w:t>
            </w:r>
            <w:r w:rsidR="00554F9D" w:rsidRPr="00782EB3">
              <w:rPr>
                <w:rFonts w:ascii="Arial" w:hAnsi="Arial" w:cs="Arial"/>
                <w:sz w:val="24"/>
                <w:szCs w:val="24"/>
              </w:rPr>
              <w:t xml:space="preserve"> m</w:t>
            </w:r>
          </w:p>
          <w:p w:rsidR="008044BD" w:rsidRDefault="008044BD" w:rsidP="0055025D">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r>
              <w:rPr>
                <w:rFonts w:ascii="Arial" w:hAnsi="Arial" w:cs="Arial"/>
                <w:sz w:val="24"/>
                <w:szCs w:val="24"/>
              </w:rPr>
              <w:t xml:space="preserve">20,00 </w:t>
            </w:r>
            <w:r w:rsidR="00B26794">
              <w:rPr>
                <w:rFonts w:ascii="Arial" w:hAnsi="Arial" w:cs="Arial"/>
                <w:sz w:val="24"/>
                <w:szCs w:val="24"/>
              </w:rPr>
              <w:t>EUR</w:t>
            </w:r>
          </w:p>
          <w:p w:rsidR="007B58AD" w:rsidRDefault="00B26794" w:rsidP="002A1EB0">
            <w:pPr>
              <w:pStyle w:val="KeinLeerraum"/>
              <w:jc w:val="right"/>
              <w:rPr>
                <w:rFonts w:ascii="Arial" w:hAnsi="Arial" w:cs="Arial"/>
                <w:sz w:val="24"/>
                <w:szCs w:val="24"/>
              </w:rPr>
            </w:pPr>
            <w:r>
              <w:rPr>
                <w:rFonts w:ascii="Arial" w:hAnsi="Arial" w:cs="Arial"/>
                <w:sz w:val="24"/>
                <w:szCs w:val="24"/>
              </w:rPr>
              <w:t>40,00 EUR</w:t>
            </w:r>
          </w:p>
          <w:p w:rsidR="00E801B6" w:rsidRDefault="00E801B6"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r>
              <w:rPr>
                <w:rFonts w:ascii="Arial" w:hAnsi="Arial" w:cs="Arial"/>
                <w:sz w:val="24"/>
                <w:szCs w:val="24"/>
              </w:rPr>
              <w:t xml:space="preserve">1,00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7B58AD" w:rsidRPr="00847F1C" w:rsidRDefault="007B58AD"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22,00 </w:t>
            </w:r>
            <w:r w:rsidR="00E05B7F">
              <w:rPr>
                <w:rFonts w:ascii="Arial" w:hAnsi="Arial" w:cs="Arial"/>
                <w:color w:val="FF0000"/>
                <w:sz w:val="24"/>
                <w:szCs w:val="24"/>
              </w:rPr>
              <w:t>EUR</w:t>
            </w:r>
          </w:p>
          <w:p w:rsidR="008044BD" w:rsidRPr="00847F1C" w:rsidRDefault="00E05B7F" w:rsidP="002A1EB0">
            <w:pPr>
              <w:pStyle w:val="KeinLeerraum"/>
              <w:jc w:val="right"/>
              <w:rPr>
                <w:rFonts w:ascii="Arial" w:hAnsi="Arial" w:cs="Arial"/>
                <w:color w:val="FF0000"/>
                <w:sz w:val="24"/>
                <w:szCs w:val="24"/>
              </w:rPr>
            </w:pPr>
            <w:r>
              <w:rPr>
                <w:rFonts w:ascii="Arial" w:hAnsi="Arial" w:cs="Arial"/>
                <w:color w:val="FF0000"/>
                <w:sz w:val="24"/>
                <w:szCs w:val="24"/>
              </w:rPr>
              <w:t>44,00 EUR</w:t>
            </w:r>
          </w:p>
          <w:p w:rsidR="00E801B6" w:rsidRDefault="00E801B6"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1,10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7B58AD" w:rsidRDefault="007B58A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E801B6" w:rsidRDefault="00E801B6"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1.4</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Kontrollschächte, je Stück</w:t>
            </w:r>
          </w:p>
          <w:p w:rsidR="008044BD" w:rsidRDefault="008044BD" w:rsidP="0055025D">
            <w:pPr>
              <w:pStyle w:val="KeinLeerraum"/>
              <w:rPr>
                <w:rFonts w:ascii="Arial" w:hAnsi="Arial" w:cs="Arial"/>
                <w:sz w:val="24"/>
                <w:szCs w:val="24"/>
              </w:rPr>
            </w:pPr>
          </w:p>
        </w:tc>
        <w:tc>
          <w:tcPr>
            <w:tcW w:w="2162" w:type="dxa"/>
            <w:gridSpan w:val="3"/>
          </w:tcPr>
          <w:p w:rsidR="008044BD" w:rsidRDefault="00B1295C" w:rsidP="002A1EB0">
            <w:pPr>
              <w:pStyle w:val="KeinLeerraum"/>
              <w:jc w:val="right"/>
              <w:rPr>
                <w:rFonts w:ascii="Arial" w:hAnsi="Arial" w:cs="Arial"/>
                <w:sz w:val="24"/>
                <w:szCs w:val="24"/>
              </w:rPr>
            </w:pPr>
            <w:r>
              <w:rPr>
                <w:rFonts w:ascii="Arial" w:hAnsi="Arial" w:cs="Arial"/>
                <w:sz w:val="24"/>
                <w:szCs w:val="24"/>
              </w:rPr>
              <w:t xml:space="preserve">20,00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22,00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r>
              <w:rPr>
                <w:rFonts w:ascii="Arial" w:hAnsi="Arial" w:cs="Arial"/>
                <w:sz w:val="24"/>
                <w:szCs w:val="24"/>
              </w:rPr>
              <w:t>jährlich</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 xml:space="preserve">1.5 </w:t>
            </w:r>
          </w:p>
        </w:tc>
        <w:tc>
          <w:tcPr>
            <w:tcW w:w="3432" w:type="dxa"/>
            <w:gridSpan w:val="2"/>
          </w:tcPr>
          <w:p w:rsidR="008044BD" w:rsidRDefault="008044BD" w:rsidP="0055025D">
            <w:pPr>
              <w:pStyle w:val="KeinLeerraum"/>
              <w:rPr>
                <w:rFonts w:ascii="Arial" w:hAnsi="Arial" w:cs="Arial"/>
                <w:sz w:val="24"/>
                <w:szCs w:val="24"/>
              </w:rPr>
            </w:pPr>
            <w:proofErr w:type="spellStart"/>
            <w:r>
              <w:rPr>
                <w:rFonts w:ascii="Arial" w:hAnsi="Arial" w:cs="Arial"/>
                <w:sz w:val="24"/>
                <w:szCs w:val="24"/>
              </w:rPr>
              <w:t>Grundwassermessstellen</w:t>
            </w:r>
            <w:proofErr w:type="spellEnd"/>
            <w:r>
              <w:rPr>
                <w:rFonts w:ascii="Arial" w:hAnsi="Arial" w:cs="Arial"/>
                <w:sz w:val="24"/>
                <w:szCs w:val="24"/>
              </w:rPr>
              <w:t>, je Stück</w:t>
            </w:r>
          </w:p>
          <w:p w:rsidR="008044BD" w:rsidRDefault="008044BD" w:rsidP="0055025D">
            <w:pPr>
              <w:pStyle w:val="KeinLeerraum"/>
              <w:rPr>
                <w:rFonts w:ascii="Arial" w:hAnsi="Arial" w:cs="Arial"/>
                <w:sz w:val="24"/>
                <w:szCs w:val="24"/>
              </w:rPr>
            </w:pPr>
          </w:p>
        </w:tc>
        <w:tc>
          <w:tcPr>
            <w:tcW w:w="2162" w:type="dxa"/>
            <w:gridSpan w:val="3"/>
          </w:tcPr>
          <w:p w:rsidR="002C3DE4" w:rsidRDefault="002C3DE4" w:rsidP="002A1EB0">
            <w:pPr>
              <w:pStyle w:val="KeinLeerraum"/>
              <w:jc w:val="right"/>
              <w:rPr>
                <w:rFonts w:ascii="Arial" w:hAnsi="Arial" w:cs="Arial"/>
                <w:sz w:val="24"/>
                <w:szCs w:val="24"/>
              </w:rPr>
            </w:pPr>
          </w:p>
          <w:p w:rsidR="008044BD" w:rsidRDefault="00B1295C" w:rsidP="002A1EB0">
            <w:pPr>
              <w:pStyle w:val="KeinLeerraum"/>
              <w:jc w:val="right"/>
              <w:rPr>
                <w:rFonts w:ascii="Arial" w:hAnsi="Arial" w:cs="Arial"/>
                <w:sz w:val="24"/>
                <w:szCs w:val="24"/>
              </w:rPr>
            </w:pPr>
            <w:r>
              <w:rPr>
                <w:rFonts w:ascii="Arial" w:hAnsi="Arial" w:cs="Arial"/>
                <w:sz w:val="24"/>
                <w:szCs w:val="24"/>
              </w:rPr>
              <w:t xml:space="preserve">100,00 </w:t>
            </w:r>
            <w:r w:rsidR="00B26794">
              <w:rPr>
                <w:rFonts w:ascii="Arial" w:hAnsi="Arial" w:cs="Arial"/>
                <w:sz w:val="24"/>
                <w:szCs w:val="24"/>
              </w:rPr>
              <w:t>EUR</w:t>
            </w:r>
          </w:p>
        </w:tc>
        <w:tc>
          <w:tcPr>
            <w:tcW w:w="1780" w:type="dxa"/>
            <w:gridSpan w:val="2"/>
          </w:tcPr>
          <w:p w:rsidR="002C3DE4" w:rsidRDefault="002C3DE4"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r w:rsidRPr="00847F1C">
              <w:rPr>
                <w:rFonts w:ascii="Arial" w:hAnsi="Arial" w:cs="Arial"/>
                <w:color w:val="FF0000"/>
                <w:sz w:val="24"/>
                <w:szCs w:val="24"/>
              </w:rPr>
              <w:t xml:space="preserve">110,00 </w:t>
            </w:r>
            <w:r w:rsidR="00E05B7F">
              <w:rPr>
                <w:rFonts w:ascii="Arial" w:hAnsi="Arial" w:cs="Arial"/>
                <w:color w:val="FF0000"/>
                <w:sz w:val="24"/>
                <w:szCs w:val="24"/>
              </w:rPr>
              <w:t>EUR</w:t>
            </w:r>
          </w:p>
        </w:tc>
        <w:tc>
          <w:tcPr>
            <w:tcW w:w="1291" w:type="dxa"/>
            <w:gridSpan w:val="2"/>
          </w:tcPr>
          <w:p w:rsidR="002C3DE4" w:rsidRDefault="002C3DE4"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 xml:space="preserve"> jährlich</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1.6</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 xml:space="preserve">Rohrhülsen für Sonnenschirme, </w:t>
            </w:r>
          </w:p>
          <w:p w:rsidR="008044BD" w:rsidRDefault="008044BD" w:rsidP="0055025D">
            <w:pPr>
              <w:pStyle w:val="KeinLeerraum"/>
              <w:rPr>
                <w:rFonts w:ascii="Arial" w:hAnsi="Arial" w:cs="Arial"/>
                <w:sz w:val="24"/>
                <w:szCs w:val="24"/>
              </w:rPr>
            </w:pPr>
            <w:r>
              <w:rPr>
                <w:rFonts w:ascii="Arial" w:hAnsi="Arial" w:cs="Arial"/>
                <w:sz w:val="24"/>
                <w:szCs w:val="24"/>
              </w:rPr>
              <w:t>Fahnenmasten usw., je Stück</w:t>
            </w:r>
          </w:p>
          <w:p w:rsidR="008044BD" w:rsidRDefault="008044BD" w:rsidP="0055025D">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B26794">
            <w:pPr>
              <w:pStyle w:val="KeinLeerraum"/>
              <w:jc w:val="right"/>
              <w:rPr>
                <w:rFonts w:ascii="Arial" w:hAnsi="Arial" w:cs="Arial"/>
                <w:sz w:val="24"/>
                <w:szCs w:val="24"/>
              </w:rPr>
            </w:pPr>
            <w:r>
              <w:rPr>
                <w:rFonts w:ascii="Arial" w:hAnsi="Arial" w:cs="Arial"/>
                <w:sz w:val="24"/>
                <w:szCs w:val="24"/>
              </w:rPr>
              <w:t xml:space="preserve">26,00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B1295C" w:rsidRPr="00847F1C" w:rsidRDefault="00B1295C" w:rsidP="002A1EB0">
            <w:pPr>
              <w:pStyle w:val="KeinLeerraum"/>
              <w:jc w:val="right"/>
              <w:rPr>
                <w:rFonts w:ascii="Arial" w:hAnsi="Arial" w:cs="Arial"/>
                <w:color w:val="FF0000"/>
                <w:sz w:val="24"/>
                <w:szCs w:val="24"/>
              </w:rPr>
            </w:pPr>
          </w:p>
          <w:p w:rsidR="008044BD" w:rsidRPr="00847F1C" w:rsidRDefault="004260EF" w:rsidP="002A1EB0">
            <w:pPr>
              <w:pStyle w:val="KeinLeerraum"/>
              <w:jc w:val="right"/>
              <w:rPr>
                <w:rFonts w:ascii="Arial" w:hAnsi="Arial" w:cs="Arial"/>
                <w:color w:val="FF0000"/>
                <w:sz w:val="24"/>
                <w:szCs w:val="24"/>
              </w:rPr>
            </w:pPr>
            <w:r>
              <w:rPr>
                <w:rFonts w:ascii="Arial" w:hAnsi="Arial" w:cs="Arial"/>
                <w:color w:val="FF0000"/>
                <w:sz w:val="24"/>
                <w:szCs w:val="24"/>
              </w:rPr>
              <w:t>29</w:t>
            </w:r>
            <w:r w:rsidR="000D639C">
              <w:rPr>
                <w:rFonts w:ascii="Arial" w:hAnsi="Arial" w:cs="Arial"/>
                <w:color w:val="FF0000"/>
                <w:sz w:val="24"/>
                <w:szCs w:val="24"/>
              </w:rPr>
              <w:t>,00</w:t>
            </w:r>
            <w:r w:rsidR="008044BD" w:rsidRPr="00847F1C">
              <w:rPr>
                <w:rFonts w:ascii="Arial" w:hAnsi="Arial" w:cs="Arial"/>
                <w:color w:val="FF0000"/>
                <w:sz w:val="24"/>
                <w:szCs w:val="24"/>
              </w:rPr>
              <w:t xml:space="preserve">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jährlich</w:t>
            </w:r>
          </w:p>
          <w:p w:rsidR="008044BD" w:rsidRDefault="008044BD" w:rsidP="00950428">
            <w:pPr>
              <w:pStyle w:val="KeinLeerraum"/>
              <w:jc w:val="center"/>
              <w:rPr>
                <w:rFonts w:ascii="Arial" w:hAnsi="Arial" w:cs="Arial"/>
                <w:sz w:val="24"/>
                <w:szCs w:val="24"/>
              </w:rPr>
            </w:pP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1.7</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Injektionsanker, je Stück</w:t>
            </w:r>
          </w:p>
          <w:p w:rsidR="008044BD" w:rsidRDefault="008044BD" w:rsidP="0055025D">
            <w:pPr>
              <w:pStyle w:val="KeinLeerraum"/>
              <w:rPr>
                <w:rFonts w:ascii="Arial" w:hAnsi="Arial" w:cs="Arial"/>
                <w:sz w:val="24"/>
                <w:szCs w:val="24"/>
              </w:rPr>
            </w:pPr>
            <w:r>
              <w:rPr>
                <w:rFonts w:ascii="Arial" w:hAnsi="Arial" w:cs="Arial"/>
                <w:sz w:val="24"/>
                <w:szCs w:val="24"/>
              </w:rPr>
              <w:t>Bodennägel, je Stück</w:t>
            </w:r>
          </w:p>
          <w:p w:rsidR="008044BD" w:rsidRDefault="008044BD" w:rsidP="0055025D">
            <w:pPr>
              <w:pStyle w:val="KeinLeerraum"/>
              <w:rPr>
                <w:rFonts w:ascii="Arial" w:hAnsi="Arial" w:cs="Arial"/>
                <w:sz w:val="24"/>
                <w:szCs w:val="24"/>
              </w:rPr>
            </w:pPr>
          </w:p>
        </w:tc>
        <w:tc>
          <w:tcPr>
            <w:tcW w:w="2162" w:type="dxa"/>
            <w:gridSpan w:val="3"/>
          </w:tcPr>
          <w:p w:rsidR="008044BD" w:rsidRDefault="00B26794" w:rsidP="002A1EB0">
            <w:pPr>
              <w:pStyle w:val="KeinLeerraum"/>
              <w:jc w:val="right"/>
              <w:rPr>
                <w:rFonts w:ascii="Arial" w:hAnsi="Arial" w:cs="Arial"/>
                <w:sz w:val="24"/>
                <w:szCs w:val="24"/>
              </w:rPr>
            </w:pPr>
            <w:r>
              <w:rPr>
                <w:rFonts w:ascii="Arial" w:hAnsi="Arial" w:cs="Arial"/>
                <w:sz w:val="24"/>
                <w:szCs w:val="24"/>
              </w:rPr>
              <w:t>80,00 EUR</w:t>
            </w:r>
          </w:p>
          <w:p w:rsidR="00B1295C" w:rsidRDefault="00B1295C" w:rsidP="002A1EB0">
            <w:pPr>
              <w:pStyle w:val="KeinLeerraum"/>
              <w:jc w:val="right"/>
              <w:rPr>
                <w:rFonts w:ascii="Arial" w:hAnsi="Arial" w:cs="Arial"/>
                <w:sz w:val="24"/>
                <w:szCs w:val="24"/>
              </w:rPr>
            </w:pPr>
            <w:r>
              <w:rPr>
                <w:rFonts w:ascii="Arial" w:hAnsi="Arial" w:cs="Arial"/>
                <w:sz w:val="24"/>
                <w:szCs w:val="24"/>
              </w:rPr>
              <w:t xml:space="preserve">80,00 </w:t>
            </w:r>
            <w:r w:rsidR="00B26794">
              <w:rPr>
                <w:rFonts w:ascii="Arial" w:hAnsi="Arial" w:cs="Arial"/>
                <w:sz w:val="24"/>
                <w:szCs w:val="24"/>
              </w:rPr>
              <w:t>EUR</w:t>
            </w:r>
          </w:p>
        </w:tc>
        <w:tc>
          <w:tcPr>
            <w:tcW w:w="1780" w:type="dxa"/>
            <w:gridSpan w:val="2"/>
          </w:tcPr>
          <w:p w:rsidR="008044BD" w:rsidRPr="00847F1C" w:rsidRDefault="004260EF" w:rsidP="002A1EB0">
            <w:pPr>
              <w:pStyle w:val="KeinLeerraum"/>
              <w:jc w:val="right"/>
              <w:rPr>
                <w:rFonts w:ascii="Arial" w:hAnsi="Arial" w:cs="Arial"/>
                <w:color w:val="FF0000"/>
                <w:sz w:val="24"/>
                <w:szCs w:val="24"/>
              </w:rPr>
            </w:pPr>
            <w:r>
              <w:rPr>
                <w:rFonts w:ascii="Arial" w:hAnsi="Arial" w:cs="Arial"/>
                <w:color w:val="FF0000"/>
                <w:sz w:val="24"/>
                <w:szCs w:val="24"/>
              </w:rPr>
              <w:t>88</w:t>
            </w:r>
            <w:r w:rsidR="00E05B7F">
              <w:rPr>
                <w:rFonts w:ascii="Arial" w:hAnsi="Arial" w:cs="Arial"/>
                <w:color w:val="FF0000"/>
                <w:sz w:val="24"/>
                <w:szCs w:val="24"/>
              </w:rPr>
              <w:t>,00 EUR</w:t>
            </w:r>
          </w:p>
          <w:p w:rsidR="008044BD" w:rsidRPr="00847F1C" w:rsidRDefault="004260EF" w:rsidP="00B1295C">
            <w:pPr>
              <w:pStyle w:val="KeinLeerraum"/>
              <w:jc w:val="right"/>
              <w:rPr>
                <w:rFonts w:ascii="Arial" w:hAnsi="Arial" w:cs="Arial"/>
                <w:color w:val="FF0000"/>
                <w:sz w:val="24"/>
                <w:szCs w:val="24"/>
              </w:rPr>
            </w:pPr>
            <w:r>
              <w:rPr>
                <w:rFonts w:ascii="Arial" w:hAnsi="Arial" w:cs="Arial"/>
                <w:color w:val="FF0000"/>
                <w:sz w:val="24"/>
                <w:szCs w:val="24"/>
              </w:rPr>
              <w:t>88</w:t>
            </w:r>
            <w:r w:rsidR="008044BD" w:rsidRPr="00847F1C">
              <w:rPr>
                <w:rFonts w:ascii="Arial" w:hAnsi="Arial" w:cs="Arial"/>
                <w:color w:val="FF0000"/>
                <w:sz w:val="24"/>
                <w:szCs w:val="24"/>
              </w:rPr>
              <w:t xml:space="preserve">,00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r>
              <w:rPr>
                <w:rFonts w:ascii="Arial" w:hAnsi="Arial" w:cs="Arial"/>
                <w:sz w:val="24"/>
                <w:szCs w:val="24"/>
              </w:rPr>
              <w:t>einmalig</w:t>
            </w:r>
          </w:p>
          <w:p w:rsidR="008044BD" w:rsidRDefault="008044BD" w:rsidP="002A1EB0">
            <w:pPr>
              <w:pStyle w:val="KeinLeerraum"/>
              <w:jc w:val="right"/>
              <w:rPr>
                <w:rFonts w:ascii="Arial" w:hAnsi="Arial" w:cs="Arial"/>
                <w:sz w:val="24"/>
                <w:szCs w:val="24"/>
              </w:rPr>
            </w:pPr>
            <w:r>
              <w:rPr>
                <w:rFonts w:ascii="Arial" w:hAnsi="Arial" w:cs="Arial"/>
                <w:sz w:val="24"/>
                <w:szCs w:val="24"/>
              </w:rPr>
              <w:t>einmalig</w:t>
            </w:r>
          </w:p>
        </w:tc>
      </w:tr>
      <w:tr w:rsidR="008044BD" w:rsidTr="00EE4B9D">
        <w:trPr>
          <w:trHeight w:val="487"/>
        </w:trPr>
        <w:tc>
          <w:tcPr>
            <w:tcW w:w="751" w:type="dxa"/>
          </w:tcPr>
          <w:p w:rsidR="008044BD" w:rsidRDefault="008044BD" w:rsidP="0055025D">
            <w:pPr>
              <w:pStyle w:val="KeinLeerraum"/>
              <w:rPr>
                <w:rFonts w:ascii="Arial" w:hAnsi="Arial" w:cs="Arial"/>
                <w:sz w:val="24"/>
                <w:szCs w:val="24"/>
              </w:rPr>
            </w:pPr>
            <w:r>
              <w:rPr>
                <w:rFonts w:ascii="Arial" w:hAnsi="Arial" w:cs="Arial"/>
                <w:sz w:val="24"/>
                <w:szCs w:val="24"/>
              </w:rPr>
              <w:t>1.8</w:t>
            </w:r>
          </w:p>
        </w:tc>
        <w:tc>
          <w:tcPr>
            <w:tcW w:w="3432" w:type="dxa"/>
            <w:gridSpan w:val="2"/>
          </w:tcPr>
          <w:p w:rsidR="008044BD" w:rsidRDefault="008044BD" w:rsidP="0055025D">
            <w:pPr>
              <w:pStyle w:val="KeinLeerraum"/>
              <w:rPr>
                <w:rFonts w:ascii="Arial" w:hAnsi="Arial" w:cs="Arial"/>
                <w:sz w:val="24"/>
                <w:szCs w:val="24"/>
              </w:rPr>
            </w:pPr>
            <w:r>
              <w:rPr>
                <w:rFonts w:ascii="Arial" w:hAnsi="Arial" w:cs="Arial"/>
                <w:sz w:val="24"/>
                <w:szCs w:val="24"/>
              </w:rPr>
              <w:t>Baugrubenumschließungen und Bohrpfähle,</w:t>
            </w:r>
          </w:p>
          <w:p w:rsidR="008044BD" w:rsidRDefault="008044BD" w:rsidP="0055025D">
            <w:pPr>
              <w:pStyle w:val="KeinLeerraum"/>
              <w:rPr>
                <w:rFonts w:ascii="Arial" w:hAnsi="Arial" w:cs="Arial"/>
                <w:sz w:val="24"/>
                <w:szCs w:val="24"/>
              </w:rPr>
            </w:pPr>
            <w:r>
              <w:rPr>
                <w:rFonts w:ascii="Arial" w:hAnsi="Arial" w:cs="Arial"/>
                <w:sz w:val="24"/>
                <w:szCs w:val="24"/>
              </w:rPr>
              <w:t>die unterirdisch im Straßenraum verbleiben</w:t>
            </w:r>
          </w:p>
          <w:p w:rsidR="008044BD" w:rsidRDefault="008044BD" w:rsidP="0055025D">
            <w:pPr>
              <w:pStyle w:val="KeinLeerraum"/>
              <w:rPr>
                <w:rFonts w:ascii="Arial" w:hAnsi="Arial" w:cs="Arial"/>
                <w:sz w:val="24"/>
                <w:szCs w:val="24"/>
              </w:rPr>
            </w:pPr>
            <w:r>
              <w:rPr>
                <w:rFonts w:ascii="Arial" w:hAnsi="Arial" w:cs="Arial"/>
                <w:sz w:val="24"/>
                <w:szCs w:val="24"/>
              </w:rPr>
              <w:t xml:space="preserve">je </w:t>
            </w:r>
            <w:proofErr w:type="spellStart"/>
            <w:r>
              <w:rPr>
                <w:rFonts w:ascii="Arial" w:hAnsi="Arial" w:cs="Arial"/>
                <w:sz w:val="24"/>
                <w:szCs w:val="24"/>
              </w:rPr>
              <w:t>angef</w:t>
            </w:r>
            <w:proofErr w:type="spellEnd"/>
            <w:r>
              <w:rPr>
                <w:rFonts w:ascii="Arial" w:hAnsi="Arial" w:cs="Arial"/>
                <w:sz w:val="24"/>
                <w:szCs w:val="24"/>
              </w:rPr>
              <w:t>. m² Straßenfläche</w:t>
            </w:r>
          </w:p>
          <w:p w:rsidR="008044BD" w:rsidRDefault="008044BD" w:rsidP="0055025D">
            <w:pPr>
              <w:pStyle w:val="KeinLeerraum"/>
              <w:rPr>
                <w:rFonts w:ascii="Arial" w:hAnsi="Arial" w:cs="Arial"/>
                <w:sz w:val="24"/>
                <w:szCs w:val="24"/>
              </w:rPr>
            </w:pPr>
          </w:p>
        </w:tc>
        <w:tc>
          <w:tcPr>
            <w:tcW w:w="2162" w:type="dxa"/>
            <w:gridSpan w:val="3"/>
          </w:tcPr>
          <w:p w:rsidR="008044BD" w:rsidRDefault="008044BD"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B26794">
            <w:pPr>
              <w:pStyle w:val="KeinLeerraum"/>
              <w:jc w:val="right"/>
              <w:rPr>
                <w:rFonts w:ascii="Arial" w:hAnsi="Arial" w:cs="Arial"/>
                <w:sz w:val="24"/>
                <w:szCs w:val="24"/>
              </w:rPr>
            </w:pPr>
            <w:r>
              <w:rPr>
                <w:rFonts w:ascii="Arial" w:hAnsi="Arial" w:cs="Arial"/>
                <w:sz w:val="24"/>
                <w:szCs w:val="24"/>
              </w:rPr>
              <w:t xml:space="preserve">80,00 </w:t>
            </w:r>
            <w:r w:rsidR="00B26794">
              <w:rPr>
                <w:rFonts w:ascii="Arial" w:hAnsi="Arial" w:cs="Arial"/>
                <w:sz w:val="24"/>
                <w:szCs w:val="24"/>
              </w:rPr>
              <w:t>EUR</w:t>
            </w:r>
          </w:p>
        </w:tc>
        <w:tc>
          <w:tcPr>
            <w:tcW w:w="1780" w:type="dxa"/>
            <w:gridSpan w:val="2"/>
          </w:tcPr>
          <w:p w:rsidR="008044BD" w:rsidRPr="00847F1C" w:rsidRDefault="008044BD" w:rsidP="002A1EB0">
            <w:pPr>
              <w:pStyle w:val="KeinLeerraum"/>
              <w:jc w:val="right"/>
              <w:rPr>
                <w:rFonts w:ascii="Arial" w:hAnsi="Arial" w:cs="Arial"/>
                <w:color w:val="FF0000"/>
                <w:sz w:val="24"/>
                <w:szCs w:val="24"/>
              </w:rPr>
            </w:pPr>
          </w:p>
          <w:p w:rsidR="008044BD" w:rsidRPr="00847F1C" w:rsidRDefault="008044BD" w:rsidP="002A1EB0">
            <w:pPr>
              <w:pStyle w:val="KeinLeerraum"/>
              <w:jc w:val="right"/>
              <w:rPr>
                <w:rFonts w:ascii="Arial" w:hAnsi="Arial" w:cs="Arial"/>
                <w:color w:val="FF0000"/>
                <w:sz w:val="24"/>
                <w:szCs w:val="24"/>
              </w:rPr>
            </w:pPr>
          </w:p>
          <w:p w:rsidR="00B1295C" w:rsidRPr="00847F1C" w:rsidRDefault="00B1295C" w:rsidP="002A1EB0">
            <w:pPr>
              <w:pStyle w:val="KeinLeerraum"/>
              <w:jc w:val="right"/>
              <w:rPr>
                <w:rFonts w:ascii="Arial" w:hAnsi="Arial" w:cs="Arial"/>
                <w:color w:val="FF0000"/>
                <w:sz w:val="24"/>
                <w:szCs w:val="24"/>
              </w:rPr>
            </w:pPr>
          </w:p>
          <w:p w:rsidR="00B1295C" w:rsidRPr="00847F1C" w:rsidRDefault="00B1295C" w:rsidP="002A1EB0">
            <w:pPr>
              <w:pStyle w:val="KeinLeerraum"/>
              <w:jc w:val="right"/>
              <w:rPr>
                <w:rFonts w:ascii="Arial" w:hAnsi="Arial" w:cs="Arial"/>
                <w:color w:val="FF0000"/>
                <w:sz w:val="24"/>
                <w:szCs w:val="24"/>
              </w:rPr>
            </w:pPr>
          </w:p>
          <w:p w:rsidR="008044BD" w:rsidRPr="00847F1C" w:rsidRDefault="004260EF" w:rsidP="00E05B7F">
            <w:pPr>
              <w:pStyle w:val="KeinLeerraum"/>
              <w:jc w:val="right"/>
              <w:rPr>
                <w:rFonts w:ascii="Arial" w:hAnsi="Arial" w:cs="Arial"/>
                <w:color w:val="FF0000"/>
                <w:sz w:val="24"/>
                <w:szCs w:val="24"/>
              </w:rPr>
            </w:pPr>
            <w:r>
              <w:rPr>
                <w:rFonts w:ascii="Arial" w:hAnsi="Arial" w:cs="Arial"/>
                <w:color w:val="FF0000"/>
                <w:sz w:val="24"/>
                <w:szCs w:val="24"/>
              </w:rPr>
              <w:t>88</w:t>
            </w:r>
            <w:r w:rsidR="008044BD" w:rsidRPr="00847F1C">
              <w:rPr>
                <w:rFonts w:ascii="Arial" w:hAnsi="Arial" w:cs="Arial"/>
                <w:color w:val="FF0000"/>
                <w:sz w:val="24"/>
                <w:szCs w:val="24"/>
              </w:rPr>
              <w:t xml:space="preserve">,00 </w:t>
            </w:r>
            <w:r w:rsidR="00E05B7F">
              <w:rPr>
                <w:rFonts w:ascii="Arial" w:hAnsi="Arial" w:cs="Arial"/>
                <w:color w:val="FF0000"/>
                <w:sz w:val="24"/>
                <w:szCs w:val="24"/>
              </w:rPr>
              <w:t>EUR</w:t>
            </w:r>
          </w:p>
        </w:tc>
        <w:tc>
          <w:tcPr>
            <w:tcW w:w="1291" w:type="dxa"/>
            <w:gridSpan w:val="2"/>
          </w:tcPr>
          <w:p w:rsidR="008044BD" w:rsidRDefault="008044BD"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B1295C" w:rsidRDefault="00B1295C"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p>
          <w:p w:rsidR="008044BD" w:rsidRDefault="008044BD" w:rsidP="002A1EB0">
            <w:pPr>
              <w:pStyle w:val="KeinLeerraum"/>
              <w:jc w:val="right"/>
              <w:rPr>
                <w:rFonts w:ascii="Arial" w:hAnsi="Arial" w:cs="Arial"/>
                <w:sz w:val="24"/>
                <w:szCs w:val="24"/>
              </w:rPr>
            </w:pPr>
            <w:r>
              <w:rPr>
                <w:rFonts w:ascii="Arial" w:hAnsi="Arial" w:cs="Arial"/>
                <w:sz w:val="24"/>
                <w:szCs w:val="24"/>
              </w:rPr>
              <w:t>einmalig</w:t>
            </w:r>
          </w:p>
        </w:tc>
      </w:tr>
      <w:tr w:rsidR="008044BD" w:rsidTr="00EE4B9D">
        <w:trPr>
          <w:trHeight w:val="487"/>
        </w:trPr>
        <w:tc>
          <w:tcPr>
            <w:tcW w:w="751" w:type="dxa"/>
          </w:tcPr>
          <w:p w:rsidR="008044BD" w:rsidRPr="00E05B7F" w:rsidRDefault="008044BD" w:rsidP="0055025D">
            <w:pPr>
              <w:pStyle w:val="KeinLeerraum"/>
              <w:rPr>
                <w:rFonts w:ascii="Arial" w:hAnsi="Arial" w:cs="Arial"/>
                <w:sz w:val="24"/>
                <w:szCs w:val="24"/>
              </w:rPr>
            </w:pPr>
            <w:r w:rsidRPr="00E05B7F">
              <w:rPr>
                <w:rFonts w:ascii="Arial" w:hAnsi="Arial" w:cs="Arial"/>
                <w:sz w:val="24"/>
                <w:szCs w:val="24"/>
              </w:rPr>
              <w:lastRenderedPageBreak/>
              <w:t>1.9</w:t>
            </w:r>
          </w:p>
        </w:tc>
        <w:tc>
          <w:tcPr>
            <w:tcW w:w="3432" w:type="dxa"/>
            <w:gridSpan w:val="2"/>
          </w:tcPr>
          <w:p w:rsidR="008044BD" w:rsidRPr="00E05B7F" w:rsidRDefault="008044BD" w:rsidP="0055025D">
            <w:pPr>
              <w:pStyle w:val="KeinLeerraum"/>
              <w:rPr>
                <w:rFonts w:ascii="Arial" w:hAnsi="Arial" w:cs="Arial"/>
                <w:sz w:val="24"/>
                <w:szCs w:val="24"/>
              </w:rPr>
            </w:pPr>
            <w:r w:rsidRPr="00E05B7F">
              <w:rPr>
                <w:rFonts w:ascii="Arial" w:hAnsi="Arial" w:cs="Arial"/>
                <w:sz w:val="24"/>
                <w:szCs w:val="24"/>
              </w:rPr>
              <w:t>Unter- und Überbauungen durch Gebäudeteile, Müll- und Containerschächte u.</w:t>
            </w:r>
            <w:r w:rsidR="006D752C" w:rsidRPr="00E05B7F">
              <w:rPr>
                <w:rFonts w:ascii="Arial" w:hAnsi="Arial" w:cs="Arial"/>
                <w:sz w:val="24"/>
                <w:szCs w:val="24"/>
              </w:rPr>
              <w:t xml:space="preserve"> </w:t>
            </w:r>
            <w:r w:rsidRPr="00E05B7F">
              <w:rPr>
                <w:rFonts w:ascii="Arial" w:hAnsi="Arial" w:cs="Arial"/>
                <w:sz w:val="24"/>
                <w:szCs w:val="24"/>
              </w:rPr>
              <w:t>Ä.</w:t>
            </w:r>
          </w:p>
          <w:p w:rsidR="008044BD" w:rsidRPr="00E05B7F" w:rsidRDefault="008044BD" w:rsidP="0055025D">
            <w:pPr>
              <w:pStyle w:val="KeinLeerraum"/>
              <w:rPr>
                <w:rFonts w:ascii="Arial" w:hAnsi="Arial" w:cs="Arial"/>
                <w:sz w:val="24"/>
                <w:szCs w:val="24"/>
              </w:rPr>
            </w:pPr>
          </w:p>
        </w:tc>
        <w:tc>
          <w:tcPr>
            <w:tcW w:w="2162" w:type="dxa"/>
            <w:gridSpan w:val="3"/>
          </w:tcPr>
          <w:p w:rsidR="008044BD" w:rsidRPr="00E05B7F" w:rsidRDefault="008044BD" w:rsidP="002A1EB0">
            <w:pPr>
              <w:pStyle w:val="KeinLeerraum"/>
              <w:jc w:val="right"/>
              <w:rPr>
                <w:rFonts w:ascii="Arial" w:hAnsi="Arial" w:cs="Arial"/>
                <w:sz w:val="24"/>
                <w:szCs w:val="24"/>
              </w:rPr>
            </w:pPr>
          </w:p>
        </w:tc>
        <w:tc>
          <w:tcPr>
            <w:tcW w:w="3071" w:type="dxa"/>
            <w:gridSpan w:val="4"/>
          </w:tcPr>
          <w:p w:rsidR="008044BD" w:rsidRPr="00E05B7F" w:rsidRDefault="008044BD" w:rsidP="002A1EB0">
            <w:pPr>
              <w:pStyle w:val="KeinLeerraum"/>
              <w:jc w:val="right"/>
              <w:rPr>
                <w:rFonts w:ascii="Arial" w:hAnsi="Arial" w:cs="Arial"/>
                <w:sz w:val="24"/>
                <w:szCs w:val="24"/>
              </w:rPr>
            </w:pPr>
            <w:r w:rsidRPr="00E05B7F">
              <w:rPr>
                <w:rFonts w:ascii="Arial" w:hAnsi="Arial" w:cs="Arial"/>
                <w:sz w:val="24"/>
                <w:szCs w:val="24"/>
              </w:rPr>
              <w:t>einmaliger Ablösebetrag</w:t>
            </w:r>
          </w:p>
          <w:p w:rsidR="008044BD" w:rsidRPr="00E05B7F" w:rsidRDefault="008044BD" w:rsidP="002A1EB0">
            <w:pPr>
              <w:pStyle w:val="KeinLeerraum"/>
              <w:jc w:val="right"/>
              <w:rPr>
                <w:rFonts w:ascii="Arial" w:hAnsi="Arial" w:cs="Arial"/>
                <w:sz w:val="24"/>
                <w:szCs w:val="24"/>
              </w:rPr>
            </w:pPr>
            <w:r w:rsidRPr="00E05B7F">
              <w:rPr>
                <w:rFonts w:ascii="Arial" w:hAnsi="Arial" w:cs="Arial"/>
                <w:sz w:val="24"/>
                <w:szCs w:val="24"/>
              </w:rPr>
              <w:t>nach Berechnungsformel</w:t>
            </w:r>
          </w:p>
        </w:tc>
      </w:tr>
      <w:tr w:rsidR="00847F1C" w:rsidTr="00EE4B9D">
        <w:trPr>
          <w:gridAfter w:val="1"/>
          <w:wAfter w:w="236" w:type="dxa"/>
          <w:trHeight w:val="487"/>
        </w:trPr>
        <w:tc>
          <w:tcPr>
            <w:tcW w:w="751" w:type="dxa"/>
          </w:tcPr>
          <w:p w:rsidR="00847F1C" w:rsidRPr="00E05B7F" w:rsidRDefault="00847F1C" w:rsidP="0055025D">
            <w:pPr>
              <w:pStyle w:val="KeinLeerraum"/>
              <w:rPr>
                <w:rFonts w:ascii="Arial" w:hAnsi="Arial" w:cs="Arial"/>
                <w:sz w:val="24"/>
                <w:szCs w:val="24"/>
              </w:rPr>
            </w:pPr>
          </w:p>
        </w:tc>
        <w:tc>
          <w:tcPr>
            <w:tcW w:w="8429" w:type="dxa"/>
            <w:gridSpan w:val="8"/>
          </w:tcPr>
          <w:p w:rsidR="00847F1C" w:rsidRPr="00E05B7F" w:rsidRDefault="00847F1C" w:rsidP="00950428">
            <w:pPr>
              <w:tabs>
                <w:tab w:val="left" w:pos="3686"/>
                <w:tab w:val="left" w:pos="5103"/>
                <w:tab w:val="decimal" w:pos="6379"/>
                <w:tab w:val="decimal" w:pos="8222"/>
              </w:tabs>
              <w:ind w:left="709" w:hanging="709"/>
              <w:rPr>
                <w:color w:val="000000"/>
              </w:rPr>
            </w:pPr>
            <w:r w:rsidRPr="00E05B7F">
              <w:rPr>
                <w:b/>
                <w:color w:val="000000"/>
                <w:u w:val="single"/>
              </w:rPr>
              <w:t>Berechnungsformel:</w:t>
            </w:r>
            <w:r w:rsidRPr="00E05B7F">
              <w:rPr>
                <w:color w:val="000000"/>
              </w:rPr>
              <w:br/>
            </w:r>
          </w:p>
          <w:tbl>
            <w:tblPr>
              <w:tblW w:w="0" w:type="auto"/>
              <w:tblInd w:w="365" w:type="dxa"/>
              <w:tblLayout w:type="fixed"/>
              <w:tblCellMar>
                <w:left w:w="30" w:type="dxa"/>
                <w:right w:w="30" w:type="dxa"/>
              </w:tblCellMar>
              <w:tblLook w:val="0000"/>
            </w:tblPr>
            <w:tblGrid>
              <w:gridCol w:w="7658"/>
            </w:tblGrid>
            <w:tr w:rsidR="00847F1C" w:rsidRPr="00E05B7F" w:rsidTr="008044BD">
              <w:trPr>
                <w:trHeight w:val="993"/>
              </w:trPr>
              <w:tc>
                <w:tcPr>
                  <w:tcW w:w="7658" w:type="dxa"/>
                </w:tcPr>
                <w:p w:rsidR="00847F1C" w:rsidRPr="007144E8" w:rsidRDefault="00847F1C" w:rsidP="007144E8">
                  <w:pPr>
                    <w:tabs>
                      <w:tab w:val="left" w:pos="5103"/>
                    </w:tabs>
                    <w:ind w:left="-30"/>
                    <w:rPr>
                      <w:snapToGrid w:val="0"/>
                      <w:color w:val="000000"/>
                      <w:sz w:val="20"/>
                      <w:u w:val="single"/>
                    </w:rPr>
                  </w:pPr>
                  <w:r w:rsidRPr="00E05B7F">
                    <w:rPr>
                      <w:snapToGrid w:val="0"/>
                      <w:color w:val="000000"/>
                      <w:sz w:val="20"/>
                    </w:rPr>
                    <w:t xml:space="preserve">60 % des </w:t>
                  </w:r>
                  <w:r w:rsidRPr="007144E8">
                    <w:rPr>
                      <w:snapToGrid w:val="0"/>
                      <w:color w:val="000000"/>
                      <w:sz w:val="20"/>
                      <w:u w:val="single"/>
                      <w:shd w:val="clear" w:color="auto" w:fill="FFFF00"/>
                    </w:rPr>
                    <w:t>Bodenwerts</w:t>
                  </w:r>
                  <w:r w:rsidRPr="00E05B7F">
                    <w:rPr>
                      <w:snapToGrid w:val="0"/>
                      <w:color w:val="000000"/>
                      <w:sz w:val="20"/>
                    </w:rPr>
                    <w:t xml:space="preserve"> (unbebaut in €/m²) x in Anspruch genommene Straßenfläche (m²) x Gewichtungsmaßstab*  x  Verzinsungssatz**  x   25 (Ablösemultiplikator) = </w:t>
                  </w:r>
                  <w:r w:rsidR="00B44F51">
                    <w:rPr>
                      <w:snapToGrid w:val="0"/>
                      <w:color w:val="000000"/>
                      <w:sz w:val="20"/>
                    </w:rPr>
                    <w:t xml:space="preserve">Ablösebetrag. </w:t>
                  </w:r>
                  <w:r w:rsidR="00347F32" w:rsidRPr="007144E8">
                    <w:rPr>
                      <w:snapToGrid w:val="0"/>
                      <w:color w:val="000000"/>
                      <w:sz w:val="20"/>
                      <w:u w:val="single"/>
                      <w:shd w:val="clear" w:color="auto" w:fill="FFFF00"/>
                    </w:rPr>
                    <w:t>Der Bodenwert ist aus geeigneten Bodenrichtwerten sachverständig</w:t>
                  </w:r>
                  <w:r w:rsidR="00347F32" w:rsidRPr="007144E8">
                    <w:rPr>
                      <w:snapToGrid w:val="0"/>
                      <w:color w:val="000000"/>
                      <w:sz w:val="20"/>
                      <w:u w:val="single"/>
                    </w:rPr>
                    <w:t xml:space="preserve"> </w:t>
                  </w:r>
                  <w:r w:rsidR="00347F32" w:rsidRPr="007144E8">
                    <w:rPr>
                      <w:snapToGrid w:val="0"/>
                      <w:color w:val="000000"/>
                      <w:sz w:val="20"/>
                      <w:u w:val="single"/>
                      <w:shd w:val="clear" w:color="auto" w:fill="FFFF00"/>
                    </w:rPr>
                    <w:t>abzuleiten.</w:t>
                  </w:r>
                  <w:r w:rsidRPr="007144E8">
                    <w:rPr>
                      <w:snapToGrid w:val="0"/>
                      <w:color w:val="000000"/>
                      <w:sz w:val="20"/>
                      <w:u w:val="single"/>
                    </w:rPr>
                    <w:t xml:space="preserve"> </w:t>
                  </w:r>
                </w:p>
                <w:p w:rsidR="00847F1C" w:rsidRPr="00E05B7F" w:rsidRDefault="00847F1C" w:rsidP="0055025D">
                  <w:pPr>
                    <w:tabs>
                      <w:tab w:val="left" w:pos="5103"/>
                    </w:tabs>
                    <w:ind w:left="253" w:hanging="283"/>
                    <w:rPr>
                      <w:snapToGrid w:val="0"/>
                      <w:color w:val="000000"/>
                      <w:sz w:val="20"/>
                    </w:rPr>
                  </w:pPr>
                </w:p>
                <w:p w:rsidR="00847F1C" w:rsidRPr="00E05B7F" w:rsidRDefault="00847F1C" w:rsidP="0055025D">
                  <w:pPr>
                    <w:tabs>
                      <w:tab w:val="left" w:pos="5103"/>
                    </w:tabs>
                    <w:ind w:left="-30"/>
                    <w:rPr>
                      <w:snapToGrid w:val="0"/>
                      <w:color w:val="000000"/>
                      <w:sz w:val="20"/>
                    </w:rPr>
                  </w:pPr>
                  <w:r w:rsidRPr="00E05B7F">
                    <w:rPr>
                      <w:snapToGrid w:val="0"/>
                      <w:color w:val="000000"/>
                      <w:sz w:val="20"/>
                    </w:rPr>
                    <w:t>*Gewichtungsmaßstab :</w:t>
                  </w:r>
                </w:p>
                <w:p w:rsidR="00847F1C" w:rsidRPr="00E05B7F" w:rsidRDefault="00847F1C" w:rsidP="0055025D">
                  <w:pPr>
                    <w:pBdr>
                      <w:top w:val="single" w:sz="6" w:space="1" w:color="auto"/>
                      <w:left w:val="single" w:sz="6" w:space="1" w:color="auto"/>
                      <w:bottom w:val="single" w:sz="6" w:space="1" w:color="auto"/>
                      <w:right w:val="single" w:sz="6" w:space="1" w:color="auto"/>
                    </w:pBdr>
                    <w:shd w:val="pct10" w:color="auto" w:fill="auto"/>
                    <w:tabs>
                      <w:tab w:val="left" w:pos="5103"/>
                    </w:tabs>
                    <w:rPr>
                      <w:snapToGrid w:val="0"/>
                      <w:color w:val="000000"/>
                      <w:sz w:val="20"/>
                    </w:rPr>
                  </w:pPr>
                  <w:r w:rsidRPr="00E05B7F">
                    <w:rPr>
                      <w:sz w:val="20"/>
                    </w:rPr>
                    <w:t xml:space="preserve">Dieser Wert ergibt sich aus dem Verhältnis der die öffentliche Verkehrsfläche unter- bzw. überbauenden Geschosse zu den tatsächlich gebauten Geschossen. Jedes Untergeschoss zählt als ein Geschoss. Eine reine Tiefgaragen-Unterbauung ist mit 1/4 zu gewichten. </w:t>
                  </w:r>
                </w:p>
                <w:p w:rsidR="00847F1C" w:rsidRPr="00E05B7F" w:rsidRDefault="00847F1C" w:rsidP="0055025D">
                  <w:pPr>
                    <w:tabs>
                      <w:tab w:val="left" w:pos="5103"/>
                    </w:tabs>
                    <w:ind w:left="-30"/>
                    <w:rPr>
                      <w:snapToGrid w:val="0"/>
                      <w:color w:val="000000"/>
                      <w:sz w:val="20"/>
                    </w:rPr>
                  </w:pPr>
                </w:p>
                <w:p w:rsidR="00847F1C" w:rsidRPr="00E05B7F" w:rsidRDefault="00847F1C" w:rsidP="0055025D">
                  <w:pPr>
                    <w:tabs>
                      <w:tab w:val="left" w:pos="5103"/>
                    </w:tabs>
                    <w:ind w:left="-30"/>
                    <w:rPr>
                      <w:snapToGrid w:val="0"/>
                      <w:color w:val="000000"/>
                      <w:sz w:val="20"/>
                    </w:rPr>
                  </w:pPr>
                  <w:r w:rsidRPr="00E05B7F">
                    <w:rPr>
                      <w:snapToGrid w:val="0"/>
                      <w:color w:val="000000"/>
                      <w:sz w:val="20"/>
                    </w:rPr>
                    <w:t>**Verzinsung:</w:t>
                  </w:r>
                </w:p>
                <w:p w:rsidR="00847F1C" w:rsidRPr="00E05B7F" w:rsidRDefault="00847F1C" w:rsidP="0055025D">
                  <w:pPr>
                    <w:tabs>
                      <w:tab w:val="left" w:pos="3372"/>
                      <w:tab w:val="left" w:pos="5103"/>
                    </w:tabs>
                    <w:ind w:left="-30"/>
                    <w:rPr>
                      <w:snapToGrid w:val="0"/>
                      <w:color w:val="000000"/>
                      <w:sz w:val="20"/>
                    </w:rPr>
                  </w:pPr>
                  <w:r w:rsidRPr="00E05B7F">
                    <w:rPr>
                      <w:snapToGrid w:val="0"/>
                      <w:color w:val="000000"/>
                      <w:sz w:val="20"/>
                    </w:rPr>
                    <w:t>Büro/Praxen/Schaufenster/gewerbliche Nutzung</w:t>
                  </w:r>
                  <w:r w:rsidRPr="00E05B7F">
                    <w:rPr>
                      <w:snapToGrid w:val="0"/>
                      <w:color w:val="000000"/>
                      <w:sz w:val="20"/>
                    </w:rPr>
                    <w:tab/>
                    <w:t xml:space="preserve"> </w:t>
                  </w:r>
                  <w:r w:rsidRPr="00E05B7F">
                    <w:rPr>
                      <w:snapToGrid w:val="0"/>
                      <w:color w:val="000000"/>
                      <w:sz w:val="20"/>
                    </w:rPr>
                    <w:tab/>
                  </w:r>
                  <w:r w:rsidRPr="00E05B7F">
                    <w:rPr>
                      <w:snapToGrid w:val="0"/>
                      <w:color w:val="000000"/>
                      <w:sz w:val="20"/>
                    </w:rPr>
                    <w:tab/>
                    <w:t xml:space="preserve">6 % </w:t>
                  </w:r>
                </w:p>
                <w:p w:rsidR="00847F1C" w:rsidRPr="00E05B7F" w:rsidRDefault="00847F1C" w:rsidP="0055025D">
                  <w:pPr>
                    <w:tabs>
                      <w:tab w:val="left" w:pos="3372"/>
                      <w:tab w:val="left" w:pos="5103"/>
                    </w:tabs>
                    <w:ind w:left="-30"/>
                    <w:rPr>
                      <w:snapToGrid w:val="0"/>
                      <w:color w:val="000000"/>
                      <w:sz w:val="20"/>
                    </w:rPr>
                  </w:pPr>
                  <w:r w:rsidRPr="00E05B7F">
                    <w:rPr>
                      <w:snapToGrid w:val="0"/>
                      <w:color w:val="000000"/>
                      <w:sz w:val="20"/>
                    </w:rPr>
                    <w:t xml:space="preserve">Wohnraum                                               </w:t>
                  </w:r>
                  <w:r w:rsidRPr="00E05B7F">
                    <w:rPr>
                      <w:snapToGrid w:val="0"/>
                      <w:color w:val="000000"/>
                      <w:sz w:val="20"/>
                    </w:rPr>
                    <w:tab/>
                  </w:r>
                  <w:r w:rsidRPr="00E05B7F">
                    <w:rPr>
                      <w:snapToGrid w:val="0"/>
                      <w:color w:val="000000"/>
                      <w:sz w:val="20"/>
                    </w:rPr>
                    <w:tab/>
                  </w:r>
                  <w:r w:rsidRPr="00E05B7F">
                    <w:rPr>
                      <w:snapToGrid w:val="0"/>
                      <w:color w:val="000000"/>
                      <w:sz w:val="20"/>
                    </w:rPr>
                    <w:tab/>
                    <w:t xml:space="preserve">4 % </w:t>
                  </w:r>
                </w:p>
                <w:p w:rsidR="00847F1C" w:rsidRPr="00E05B7F" w:rsidRDefault="00847F1C" w:rsidP="0055025D">
                  <w:pPr>
                    <w:tabs>
                      <w:tab w:val="left" w:pos="3372"/>
                      <w:tab w:val="left" w:pos="5103"/>
                    </w:tabs>
                    <w:ind w:left="-30"/>
                    <w:rPr>
                      <w:snapToGrid w:val="0"/>
                      <w:color w:val="000000"/>
                      <w:sz w:val="20"/>
                    </w:rPr>
                  </w:pPr>
                  <w:r w:rsidRPr="00E05B7F">
                    <w:rPr>
                      <w:snapToGrid w:val="0"/>
                      <w:color w:val="000000"/>
                      <w:sz w:val="20"/>
                    </w:rPr>
                    <w:t xml:space="preserve">Tiefgarage                                                                                </w:t>
                  </w:r>
                  <w:r w:rsidRPr="00E05B7F">
                    <w:rPr>
                      <w:snapToGrid w:val="0"/>
                      <w:color w:val="000000"/>
                      <w:sz w:val="20"/>
                    </w:rPr>
                    <w:tab/>
                  </w:r>
                  <w:r w:rsidRPr="00E05B7F">
                    <w:rPr>
                      <w:snapToGrid w:val="0"/>
                      <w:color w:val="000000"/>
                      <w:sz w:val="20"/>
                    </w:rPr>
                    <w:tab/>
                    <w:t xml:space="preserve">4 % </w:t>
                  </w:r>
                </w:p>
                <w:p w:rsidR="00847F1C" w:rsidRPr="00E05B7F" w:rsidRDefault="00847F1C" w:rsidP="00336593">
                  <w:pPr>
                    <w:tabs>
                      <w:tab w:val="left" w:pos="3372"/>
                      <w:tab w:val="left" w:pos="5103"/>
                    </w:tabs>
                    <w:ind w:left="-30"/>
                    <w:rPr>
                      <w:snapToGrid w:val="0"/>
                      <w:color w:val="000000"/>
                      <w:sz w:val="20"/>
                    </w:rPr>
                  </w:pPr>
                  <w:r w:rsidRPr="00E05B7F">
                    <w:rPr>
                      <w:snapToGrid w:val="0"/>
                      <w:color w:val="000000"/>
                      <w:sz w:val="20"/>
                    </w:rPr>
                    <w:t xml:space="preserve">Keller/Stützfundamente/Lager/Treppen/Vordächer u. Ä. </w:t>
                  </w:r>
                  <w:r w:rsidRPr="00E05B7F">
                    <w:rPr>
                      <w:snapToGrid w:val="0"/>
                      <w:color w:val="000000"/>
                      <w:sz w:val="20"/>
                    </w:rPr>
                    <w:tab/>
                  </w:r>
                  <w:r w:rsidRPr="00E05B7F">
                    <w:rPr>
                      <w:snapToGrid w:val="0"/>
                      <w:color w:val="000000"/>
                      <w:sz w:val="20"/>
                    </w:rPr>
                    <w:tab/>
                    <w:t xml:space="preserve">             2 %</w:t>
                  </w:r>
                </w:p>
              </w:tc>
            </w:tr>
          </w:tbl>
          <w:p w:rsidR="00847F1C" w:rsidRPr="00E05B7F" w:rsidRDefault="00847F1C" w:rsidP="00950428">
            <w:pPr>
              <w:pStyle w:val="KeinLeerraum"/>
              <w:rPr>
                <w:rFonts w:ascii="Arial" w:hAnsi="Arial" w:cs="Arial"/>
                <w:sz w:val="24"/>
                <w:szCs w:val="24"/>
              </w:rPr>
            </w:pPr>
          </w:p>
          <w:p w:rsidR="00847F1C" w:rsidRPr="00E05B7F" w:rsidRDefault="00847F1C" w:rsidP="00950428">
            <w:pPr>
              <w:pStyle w:val="KeinLeerraum"/>
              <w:rPr>
                <w:rFonts w:ascii="Arial" w:hAnsi="Arial" w:cs="Arial"/>
                <w:sz w:val="24"/>
                <w:szCs w:val="24"/>
              </w:rPr>
            </w:pPr>
            <w:r w:rsidRPr="00E05B7F">
              <w:rPr>
                <w:rFonts w:ascii="Arial" w:hAnsi="Arial" w:cs="Arial"/>
                <w:sz w:val="24"/>
                <w:szCs w:val="24"/>
              </w:rPr>
              <w:t>Das Entgelt für die Unter- bzw. Überbauung kann auf Antrag in jährlichen Beträgen (ohne Ablösemultiplikator) gezahlt werden.</w:t>
            </w:r>
          </w:p>
          <w:p w:rsidR="00847F1C" w:rsidRPr="00E05B7F" w:rsidRDefault="00847F1C" w:rsidP="00950428">
            <w:pPr>
              <w:pStyle w:val="KeinLeerraum"/>
              <w:rPr>
                <w:rFonts w:ascii="Arial" w:hAnsi="Arial" w:cs="Arial"/>
                <w:sz w:val="24"/>
                <w:szCs w:val="24"/>
              </w:rPr>
            </w:pPr>
          </w:p>
        </w:tc>
      </w:tr>
      <w:tr w:rsidR="00847F1C" w:rsidTr="00EE4B9D">
        <w:trPr>
          <w:gridAfter w:val="1"/>
          <w:wAfter w:w="236" w:type="dxa"/>
          <w:trHeight w:val="487"/>
        </w:trPr>
        <w:tc>
          <w:tcPr>
            <w:tcW w:w="751" w:type="dxa"/>
          </w:tcPr>
          <w:p w:rsidR="00847F1C" w:rsidRPr="00E05B7F" w:rsidRDefault="00847F1C" w:rsidP="0055025D">
            <w:pPr>
              <w:pStyle w:val="KeinLeerraum"/>
              <w:rPr>
                <w:rFonts w:ascii="Arial" w:hAnsi="Arial" w:cs="Arial"/>
                <w:sz w:val="24"/>
                <w:szCs w:val="24"/>
              </w:rPr>
            </w:pPr>
            <w:r w:rsidRPr="00E05B7F">
              <w:rPr>
                <w:rFonts w:ascii="Arial" w:hAnsi="Arial" w:cs="Arial"/>
                <w:sz w:val="24"/>
                <w:szCs w:val="24"/>
              </w:rPr>
              <w:t>1.9.1</w:t>
            </w:r>
          </w:p>
        </w:tc>
        <w:tc>
          <w:tcPr>
            <w:tcW w:w="8429" w:type="dxa"/>
            <w:gridSpan w:val="8"/>
          </w:tcPr>
          <w:p w:rsidR="00847F1C" w:rsidRPr="00E05B7F" w:rsidRDefault="00847F1C" w:rsidP="00336593">
            <w:pPr>
              <w:pStyle w:val="KeinLeerraum"/>
              <w:rPr>
                <w:rFonts w:ascii="Arial" w:hAnsi="Arial" w:cs="Arial"/>
                <w:sz w:val="24"/>
                <w:szCs w:val="24"/>
              </w:rPr>
            </w:pPr>
            <w:r w:rsidRPr="00E05B7F">
              <w:rPr>
                <w:rFonts w:ascii="Arial" w:hAnsi="Arial" w:cs="Arial"/>
                <w:sz w:val="24"/>
                <w:szCs w:val="24"/>
              </w:rPr>
              <w:t xml:space="preserve">Wenn die Stadt im Einzelfall die Unter- bzw. Überbauung des öffentlichen </w:t>
            </w:r>
            <w:r w:rsidR="00634552">
              <w:rPr>
                <w:rFonts w:ascii="Arial" w:hAnsi="Arial" w:cs="Arial"/>
                <w:sz w:val="24"/>
                <w:szCs w:val="24"/>
              </w:rPr>
              <w:t>Verkehrsraums</w:t>
            </w:r>
            <w:r w:rsidRPr="00E05B7F">
              <w:rPr>
                <w:rFonts w:ascii="Arial" w:hAnsi="Arial" w:cs="Arial"/>
                <w:sz w:val="24"/>
                <w:szCs w:val="24"/>
              </w:rPr>
              <w:t xml:space="preserve"> durch Gebäudeteile aus stadtgestalterischen Gründen wünscht (z.B. Fassade in Fußgängerzone) und der Gebäudeeigentümer/Bauherr dadurch einen höheren baulichen Aufwand hat, kann in diesem Fall unter Berücksichtigung des öffentlichen Interesses für die erhöhte Investition ein angemessener Betrag von der nach Ziffer 1.9 berechneten Entgeltsumme abgezogen werden.</w:t>
            </w:r>
          </w:p>
          <w:p w:rsidR="00847F1C" w:rsidRPr="00E05B7F" w:rsidRDefault="00847F1C" w:rsidP="00336593">
            <w:pPr>
              <w:pStyle w:val="KeinLeerraum"/>
              <w:rPr>
                <w:rFonts w:ascii="Arial" w:hAnsi="Arial" w:cs="Arial"/>
                <w:sz w:val="24"/>
                <w:szCs w:val="24"/>
              </w:rPr>
            </w:pPr>
          </w:p>
        </w:tc>
      </w:tr>
      <w:tr w:rsidR="00847F1C" w:rsidTr="00EE4B9D">
        <w:trPr>
          <w:gridAfter w:val="1"/>
          <w:wAfter w:w="236" w:type="dxa"/>
          <w:trHeight w:val="487"/>
        </w:trPr>
        <w:tc>
          <w:tcPr>
            <w:tcW w:w="751" w:type="dxa"/>
          </w:tcPr>
          <w:p w:rsidR="00847F1C" w:rsidRPr="00E05B7F" w:rsidRDefault="00847F1C" w:rsidP="0055025D">
            <w:pPr>
              <w:pStyle w:val="KeinLeerraum"/>
              <w:rPr>
                <w:rFonts w:ascii="Arial" w:hAnsi="Arial" w:cs="Arial"/>
                <w:sz w:val="24"/>
                <w:szCs w:val="24"/>
              </w:rPr>
            </w:pPr>
            <w:r w:rsidRPr="00E05B7F">
              <w:rPr>
                <w:rFonts w:ascii="Arial" w:hAnsi="Arial" w:cs="Arial"/>
                <w:sz w:val="24"/>
                <w:szCs w:val="24"/>
              </w:rPr>
              <w:t>1.9.2</w:t>
            </w:r>
          </w:p>
        </w:tc>
        <w:tc>
          <w:tcPr>
            <w:tcW w:w="8429" w:type="dxa"/>
            <w:gridSpan w:val="8"/>
          </w:tcPr>
          <w:p w:rsidR="00847F1C" w:rsidRPr="00E05B7F" w:rsidRDefault="00847F1C" w:rsidP="0055025D">
            <w:pPr>
              <w:pStyle w:val="KeinLeerraum"/>
              <w:rPr>
                <w:rFonts w:ascii="Arial" w:hAnsi="Arial" w:cs="Arial"/>
                <w:sz w:val="24"/>
                <w:szCs w:val="24"/>
              </w:rPr>
            </w:pPr>
            <w:r w:rsidRPr="00E05B7F">
              <w:rPr>
                <w:rFonts w:ascii="Arial" w:hAnsi="Arial" w:cs="Arial"/>
                <w:sz w:val="24"/>
                <w:szCs w:val="24"/>
              </w:rPr>
              <w:t xml:space="preserve">Werden bestehende Unter- bzw. Überbauungen des öffentlichen </w:t>
            </w:r>
            <w:r w:rsidR="00634552">
              <w:rPr>
                <w:rFonts w:ascii="Arial" w:hAnsi="Arial" w:cs="Arial"/>
                <w:sz w:val="24"/>
                <w:szCs w:val="24"/>
              </w:rPr>
              <w:t>Verkehrsraums</w:t>
            </w:r>
            <w:r w:rsidRPr="00E05B7F">
              <w:rPr>
                <w:rFonts w:ascii="Arial" w:hAnsi="Arial" w:cs="Arial"/>
                <w:sz w:val="24"/>
                <w:szCs w:val="24"/>
              </w:rPr>
              <w:t xml:space="preserve"> durch einen Gebäudeneubau beseitigt und durch neue Unter- bzw. Überbauungen mit gleichem oder verändertem Umfang ersetzt, kann das im Wege der Ablösung bereits bezahlte Entgelt im begründeten Einzelfall auf den errechneten Betrag der neuen Unter- bzw. Überbauung ganz oder teilweise angerechnet werden.</w:t>
            </w:r>
          </w:p>
          <w:p w:rsidR="00847F1C" w:rsidRPr="00E05B7F" w:rsidRDefault="00847F1C" w:rsidP="0055025D">
            <w:pPr>
              <w:pStyle w:val="KeinLeerraum"/>
              <w:rPr>
                <w:rFonts w:ascii="Arial" w:hAnsi="Arial" w:cs="Arial"/>
                <w:sz w:val="24"/>
                <w:szCs w:val="24"/>
              </w:rPr>
            </w:pPr>
          </w:p>
        </w:tc>
      </w:tr>
      <w:tr w:rsidR="00847F1C" w:rsidTr="00EE4B9D">
        <w:trPr>
          <w:gridAfter w:val="1"/>
          <w:wAfter w:w="236" w:type="dxa"/>
          <w:trHeight w:val="276"/>
        </w:trPr>
        <w:tc>
          <w:tcPr>
            <w:tcW w:w="751" w:type="dxa"/>
          </w:tcPr>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1.10</w:t>
            </w:r>
          </w:p>
        </w:tc>
        <w:tc>
          <w:tcPr>
            <w:tcW w:w="5544" w:type="dxa"/>
            <w:gridSpan w:val="4"/>
          </w:tcPr>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 xml:space="preserve">Begehbare/befahrbare unterirdische </w:t>
            </w:r>
          </w:p>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Versorgungskanäle, Verbindungsgänge,</w:t>
            </w:r>
          </w:p>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Stege</w:t>
            </w:r>
          </w:p>
        </w:tc>
        <w:tc>
          <w:tcPr>
            <w:tcW w:w="2885" w:type="dxa"/>
            <w:gridSpan w:val="4"/>
          </w:tcPr>
          <w:p w:rsidR="00847F1C" w:rsidRPr="00E05B7F" w:rsidRDefault="00847F1C" w:rsidP="002A1EB0">
            <w:pPr>
              <w:pStyle w:val="KeinLeerraum"/>
              <w:jc w:val="right"/>
              <w:rPr>
                <w:rFonts w:ascii="Arial" w:hAnsi="Arial" w:cs="Arial"/>
                <w:sz w:val="24"/>
                <w:szCs w:val="24"/>
              </w:rPr>
            </w:pPr>
            <w:r w:rsidRPr="00E05B7F">
              <w:rPr>
                <w:rFonts w:ascii="Arial" w:hAnsi="Arial" w:cs="Arial"/>
                <w:sz w:val="24"/>
                <w:szCs w:val="24"/>
              </w:rPr>
              <w:t xml:space="preserve">einmaliger Betrag nach Berechnungsformel der Ziff. 1.9 mit </w:t>
            </w:r>
            <w:proofErr w:type="spellStart"/>
            <w:r w:rsidRPr="00E05B7F">
              <w:rPr>
                <w:rFonts w:ascii="Arial" w:hAnsi="Arial" w:cs="Arial"/>
                <w:sz w:val="24"/>
                <w:szCs w:val="24"/>
              </w:rPr>
              <w:t>Gewich-tungsmaßstab</w:t>
            </w:r>
            <w:proofErr w:type="spellEnd"/>
            <w:r w:rsidRPr="00E05B7F">
              <w:rPr>
                <w:rFonts w:ascii="Arial" w:hAnsi="Arial" w:cs="Arial"/>
                <w:sz w:val="24"/>
                <w:szCs w:val="24"/>
              </w:rPr>
              <w:t xml:space="preserve"> ¼ und Verzinsung 2 %</w:t>
            </w:r>
          </w:p>
          <w:p w:rsidR="00847F1C" w:rsidRPr="00E05B7F" w:rsidRDefault="00847F1C" w:rsidP="002A1EB0">
            <w:pPr>
              <w:pStyle w:val="KeinLeerraum"/>
              <w:jc w:val="right"/>
              <w:rPr>
                <w:rFonts w:ascii="Arial" w:hAnsi="Arial" w:cs="Arial"/>
                <w:sz w:val="24"/>
                <w:szCs w:val="24"/>
              </w:rPr>
            </w:pPr>
          </w:p>
        </w:tc>
      </w:tr>
      <w:tr w:rsidR="00847F1C" w:rsidTr="00EE4B9D">
        <w:trPr>
          <w:gridAfter w:val="1"/>
          <w:wAfter w:w="236" w:type="dxa"/>
          <w:trHeight w:val="276"/>
        </w:trPr>
        <w:tc>
          <w:tcPr>
            <w:tcW w:w="751" w:type="dxa"/>
          </w:tcPr>
          <w:p w:rsidR="00847F1C" w:rsidRDefault="00847F1C" w:rsidP="002A1EB0">
            <w:pPr>
              <w:pStyle w:val="KeinLeerraum"/>
              <w:rPr>
                <w:rFonts w:ascii="Arial" w:hAnsi="Arial" w:cs="Arial"/>
                <w:sz w:val="24"/>
                <w:szCs w:val="24"/>
              </w:rPr>
            </w:pPr>
            <w:r>
              <w:rPr>
                <w:rFonts w:ascii="Arial" w:hAnsi="Arial" w:cs="Arial"/>
                <w:sz w:val="24"/>
                <w:szCs w:val="24"/>
              </w:rPr>
              <w:t>1.11</w:t>
            </w:r>
          </w:p>
        </w:tc>
        <w:tc>
          <w:tcPr>
            <w:tcW w:w="3185" w:type="dxa"/>
          </w:tcPr>
          <w:p w:rsidR="00847F1C" w:rsidRDefault="00847F1C" w:rsidP="002A1EB0">
            <w:pPr>
              <w:pStyle w:val="KeinLeerraum"/>
              <w:rPr>
                <w:rFonts w:ascii="Arial" w:hAnsi="Arial" w:cs="Arial"/>
                <w:sz w:val="24"/>
                <w:szCs w:val="24"/>
              </w:rPr>
            </w:pPr>
            <w:r>
              <w:rPr>
                <w:rFonts w:ascii="Arial" w:hAnsi="Arial" w:cs="Arial"/>
                <w:sz w:val="24"/>
                <w:szCs w:val="24"/>
              </w:rPr>
              <w:t>Riesenposter</w:t>
            </w:r>
          </w:p>
          <w:p w:rsidR="00847F1C" w:rsidRDefault="00847F1C" w:rsidP="002A1EB0">
            <w:pPr>
              <w:pStyle w:val="KeinLeerraum"/>
              <w:rPr>
                <w:rFonts w:ascii="Arial" w:hAnsi="Arial" w:cs="Arial"/>
                <w:sz w:val="24"/>
                <w:szCs w:val="24"/>
              </w:rPr>
            </w:pPr>
            <w:r>
              <w:rPr>
                <w:rFonts w:ascii="Arial" w:hAnsi="Arial" w:cs="Arial"/>
                <w:sz w:val="24"/>
                <w:szCs w:val="24"/>
              </w:rPr>
              <w:t xml:space="preserve">unter 50 m² je </w:t>
            </w:r>
            <w:proofErr w:type="spellStart"/>
            <w:r>
              <w:rPr>
                <w:rFonts w:ascii="Arial" w:hAnsi="Arial" w:cs="Arial"/>
                <w:sz w:val="24"/>
                <w:szCs w:val="24"/>
              </w:rPr>
              <w:t>angef</w:t>
            </w:r>
            <w:proofErr w:type="spellEnd"/>
            <w:r>
              <w:rPr>
                <w:rFonts w:ascii="Arial" w:hAnsi="Arial" w:cs="Arial"/>
                <w:sz w:val="24"/>
                <w:szCs w:val="24"/>
              </w:rPr>
              <w:t>. 10 m²</w:t>
            </w:r>
          </w:p>
          <w:p w:rsidR="00847F1C" w:rsidRDefault="00847F1C" w:rsidP="002A1EB0">
            <w:pPr>
              <w:pStyle w:val="KeinLeerraum"/>
              <w:rPr>
                <w:rFonts w:ascii="Arial" w:hAnsi="Arial" w:cs="Arial"/>
                <w:sz w:val="24"/>
                <w:szCs w:val="24"/>
              </w:rPr>
            </w:pPr>
          </w:p>
          <w:p w:rsidR="00847F1C" w:rsidRDefault="00847F1C" w:rsidP="002A1EB0">
            <w:pPr>
              <w:pStyle w:val="KeinLeerraum"/>
              <w:rPr>
                <w:rFonts w:ascii="Arial" w:hAnsi="Arial" w:cs="Arial"/>
                <w:sz w:val="24"/>
                <w:szCs w:val="24"/>
              </w:rPr>
            </w:pPr>
          </w:p>
          <w:p w:rsidR="00847F1C" w:rsidRDefault="00847F1C" w:rsidP="002A1EB0">
            <w:pPr>
              <w:pStyle w:val="KeinLeerraum"/>
              <w:rPr>
                <w:rFonts w:ascii="Arial" w:hAnsi="Arial" w:cs="Arial"/>
                <w:sz w:val="24"/>
                <w:szCs w:val="24"/>
              </w:rPr>
            </w:pPr>
            <w:r>
              <w:rPr>
                <w:rFonts w:ascii="Arial" w:hAnsi="Arial" w:cs="Arial"/>
                <w:sz w:val="24"/>
                <w:szCs w:val="24"/>
              </w:rPr>
              <w:t xml:space="preserve">über 50 m² je </w:t>
            </w:r>
            <w:proofErr w:type="spellStart"/>
            <w:r>
              <w:rPr>
                <w:rFonts w:ascii="Arial" w:hAnsi="Arial" w:cs="Arial"/>
                <w:sz w:val="24"/>
                <w:szCs w:val="24"/>
              </w:rPr>
              <w:t>angef</w:t>
            </w:r>
            <w:proofErr w:type="spellEnd"/>
            <w:r>
              <w:rPr>
                <w:rFonts w:ascii="Arial" w:hAnsi="Arial" w:cs="Arial"/>
                <w:sz w:val="24"/>
                <w:szCs w:val="24"/>
              </w:rPr>
              <w:t>. 10 m²</w:t>
            </w:r>
          </w:p>
        </w:tc>
        <w:tc>
          <w:tcPr>
            <w:tcW w:w="1984" w:type="dxa"/>
            <w:gridSpan w:val="2"/>
          </w:tcPr>
          <w:p w:rsidR="00847F1C" w:rsidRDefault="00847F1C" w:rsidP="002A4775">
            <w:pPr>
              <w:pStyle w:val="KeinLeerraum"/>
              <w:jc w:val="right"/>
              <w:rPr>
                <w:rFonts w:ascii="Arial" w:hAnsi="Arial" w:cs="Arial"/>
                <w:sz w:val="24"/>
                <w:szCs w:val="24"/>
              </w:rPr>
            </w:pPr>
          </w:p>
          <w:p w:rsidR="00847F1C" w:rsidRDefault="00847F1C" w:rsidP="002A4775">
            <w:pPr>
              <w:pStyle w:val="KeinLeerraum"/>
              <w:jc w:val="right"/>
              <w:rPr>
                <w:rFonts w:ascii="Arial" w:hAnsi="Arial" w:cs="Arial"/>
                <w:sz w:val="24"/>
                <w:szCs w:val="24"/>
              </w:rPr>
            </w:pPr>
            <w:r>
              <w:rPr>
                <w:rFonts w:ascii="Arial" w:hAnsi="Arial" w:cs="Arial"/>
                <w:sz w:val="24"/>
                <w:szCs w:val="24"/>
              </w:rPr>
              <w:t xml:space="preserve">90,00 </w:t>
            </w:r>
            <w:r w:rsidR="00E05B7F">
              <w:rPr>
                <w:rFonts w:ascii="Arial" w:hAnsi="Arial" w:cs="Arial"/>
                <w:sz w:val="24"/>
                <w:szCs w:val="24"/>
              </w:rPr>
              <w:t>EUR</w:t>
            </w:r>
          </w:p>
          <w:p w:rsidR="00847F1C" w:rsidRDefault="00847F1C" w:rsidP="002A4775">
            <w:pPr>
              <w:pStyle w:val="KeinLeerraum"/>
              <w:jc w:val="right"/>
              <w:rPr>
                <w:rFonts w:ascii="Arial" w:hAnsi="Arial" w:cs="Arial"/>
                <w:sz w:val="24"/>
                <w:szCs w:val="24"/>
              </w:rPr>
            </w:pPr>
            <w:r>
              <w:rPr>
                <w:rFonts w:ascii="Arial" w:hAnsi="Arial" w:cs="Arial"/>
                <w:sz w:val="24"/>
                <w:szCs w:val="24"/>
              </w:rPr>
              <w:t>/30 Tage</w:t>
            </w:r>
          </w:p>
          <w:p w:rsidR="00847F1C" w:rsidRDefault="00847F1C" w:rsidP="002A4775">
            <w:pPr>
              <w:pStyle w:val="KeinLeerraum"/>
              <w:jc w:val="right"/>
              <w:rPr>
                <w:rFonts w:ascii="Arial" w:hAnsi="Arial" w:cs="Arial"/>
                <w:sz w:val="24"/>
                <w:szCs w:val="24"/>
              </w:rPr>
            </w:pPr>
          </w:p>
          <w:p w:rsidR="00847F1C" w:rsidRDefault="00847F1C" w:rsidP="002A4775">
            <w:pPr>
              <w:pStyle w:val="KeinLeerraum"/>
              <w:jc w:val="right"/>
              <w:rPr>
                <w:rFonts w:ascii="Arial" w:hAnsi="Arial" w:cs="Arial"/>
                <w:sz w:val="24"/>
                <w:szCs w:val="24"/>
              </w:rPr>
            </w:pPr>
            <w:r>
              <w:rPr>
                <w:rFonts w:ascii="Arial" w:hAnsi="Arial" w:cs="Arial"/>
                <w:sz w:val="24"/>
                <w:szCs w:val="24"/>
              </w:rPr>
              <w:t xml:space="preserve">180,00 </w:t>
            </w:r>
            <w:r w:rsidR="00E05B7F">
              <w:rPr>
                <w:rFonts w:ascii="Arial" w:hAnsi="Arial" w:cs="Arial"/>
                <w:sz w:val="24"/>
                <w:szCs w:val="24"/>
              </w:rPr>
              <w:t>EUR</w:t>
            </w:r>
          </w:p>
          <w:p w:rsidR="00847F1C" w:rsidRDefault="00847F1C" w:rsidP="002A4775">
            <w:pPr>
              <w:pStyle w:val="KeinLeerraum"/>
              <w:jc w:val="right"/>
              <w:rPr>
                <w:rFonts w:ascii="Arial" w:hAnsi="Arial" w:cs="Arial"/>
                <w:sz w:val="24"/>
                <w:szCs w:val="24"/>
              </w:rPr>
            </w:pPr>
            <w:r>
              <w:rPr>
                <w:rFonts w:ascii="Arial" w:hAnsi="Arial" w:cs="Arial"/>
                <w:sz w:val="24"/>
                <w:szCs w:val="24"/>
              </w:rPr>
              <w:t>/30 Tage</w:t>
            </w:r>
          </w:p>
        </w:tc>
        <w:tc>
          <w:tcPr>
            <w:tcW w:w="1985" w:type="dxa"/>
            <w:gridSpan w:val="3"/>
          </w:tcPr>
          <w:p w:rsidR="00847F1C" w:rsidRPr="00847F1C" w:rsidRDefault="00847F1C" w:rsidP="00847F1C">
            <w:pPr>
              <w:pStyle w:val="KeinLeerraum"/>
              <w:jc w:val="right"/>
              <w:rPr>
                <w:rFonts w:ascii="Arial" w:hAnsi="Arial" w:cs="Arial"/>
                <w:color w:val="FF0000"/>
                <w:sz w:val="24"/>
                <w:szCs w:val="24"/>
              </w:rPr>
            </w:pPr>
          </w:p>
          <w:p w:rsidR="00847F1C" w:rsidRPr="00847F1C" w:rsidRDefault="000D639C" w:rsidP="00847F1C">
            <w:pPr>
              <w:pStyle w:val="KeinLeerraum"/>
              <w:jc w:val="right"/>
              <w:rPr>
                <w:rFonts w:ascii="Arial" w:hAnsi="Arial" w:cs="Arial"/>
                <w:color w:val="FF0000"/>
                <w:sz w:val="24"/>
                <w:szCs w:val="24"/>
              </w:rPr>
            </w:pPr>
            <w:r>
              <w:rPr>
                <w:rFonts w:ascii="Arial" w:hAnsi="Arial" w:cs="Arial"/>
                <w:color w:val="FF0000"/>
                <w:sz w:val="24"/>
                <w:szCs w:val="24"/>
              </w:rPr>
              <w:t>100</w:t>
            </w:r>
            <w:r w:rsidR="00847F1C" w:rsidRPr="00847F1C">
              <w:rPr>
                <w:rFonts w:ascii="Arial" w:hAnsi="Arial" w:cs="Arial"/>
                <w:color w:val="FF0000"/>
                <w:sz w:val="24"/>
                <w:szCs w:val="24"/>
              </w:rPr>
              <w:t xml:space="preserve">,00 </w:t>
            </w:r>
            <w:r w:rsidR="00E05B7F">
              <w:rPr>
                <w:rFonts w:ascii="Arial" w:hAnsi="Arial" w:cs="Arial"/>
                <w:color w:val="FF0000"/>
                <w:sz w:val="24"/>
                <w:szCs w:val="24"/>
              </w:rPr>
              <w:t>EUR</w:t>
            </w:r>
          </w:p>
          <w:p w:rsidR="00847F1C" w:rsidRPr="00847F1C" w:rsidRDefault="00847F1C" w:rsidP="00847F1C">
            <w:pPr>
              <w:pStyle w:val="KeinLeerraum"/>
              <w:jc w:val="right"/>
              <w:rPr>
                <w:rFonts w:ascii="Arial" w:hAnsi="Arial" w:cs="Arial"/>
                <w:color w:val="FF0000"/>
                <w:sz w:val="24"/>
                <w:szCs w:val="24"/>
              </w:rPr>
            </w:pPr>
            <w:r w:rsidRPr="00847F1C">
              <w:rPr>
                <w:rFonts w:ascii="Arial" w:hAnsi="Arial" w:cs="Arial"/>
                <w:color w:val="FF0000"/>
                <w:sz w:val="24"/>
                <w:szCs w:val="24"/>
              </w:rPr>
              <w:t>/30 Tage</w:t>
            </w:r>
          </w:p>
          <w:p w:rsidR="00847F1C" w:rsidRPr="00847F1C" w:rsidRDefault="00847F1C" w:rsidP="00847F1C">
            <w:pPr>
              <w:pStyle w:val="KeinLeerraum"/>
              <w:jc w:val="right"/>
              <w:rPr>
                <w:rFonts w:ascii="Arial" w:hAnsi="Arial" w:cs="Arial"/>
                <w:color w:val="FF0000"/>
                <w:sz w:val="24"/>
                <w:szCs w:val="24"/>
              </w:rPr>
            </w:pPr>
          </w:p>
          <w:p w:rsidR="00847F1C" w:rsidRPr="00847F1C" w:rsidRDefault="000D639C" w:rsidP="00847F1C">
            <w:pPr>
              <w:pStyle w:val="KeinLeerraum"/>
              <w:jc w:val="right"/>
              <w:rPr>
                <w:rFonts w:ascii="Arial" w:hAnsi="Arial" w:cs="Arial"/>
                <w:color w:val="FF0000"/>
                <w:sz w:val="24"/>
                <w:szCs w:val="24"/>
              </w:rPr>
            </w:pPr>
            <w:r>
              <w:rPr>
                <w:rFonts w:ascii="Arial" w:hAnsi="Arial" w:cs="Arial"/>
                <w:color w:val="FF0000"/>
                <w:sz w:val="24"/>
                <w:szCs w:val="24"/>
              </w:rPr>
              <w:t>200</w:t>
            </w:r>
            <w:r w:rsidR="00847F1C" w:rsidRPr="00847F1C">
              <w:rPr>
                <w:rFonts w:ascii="Arial" w:hAnsi="Arial" w:cs="Arial"/>
                <w:color w:val="FF0000"/>
                <w:sz w:val="24"/>
                <w:szCs w:val="24"/>
              </w:rPr>
              <w:t xml:space="preserve">,00 </w:t>
            </w:r>
            <w:r w:rsidR="00E05B7F">
              <w:rPr>
                <w:rFonts w:ascii="Arial" w:hAnsi="Arial" w:cs="Arial"/>
                <w:color w:val="FF0000"/>
                <w:sz w:val="24"/>
                <w:szCs w:val="24"/>
              </w:rPr>
              <w:t>EUR</w:t>
            </w:r>
          </w:p>
          <w:p w:rsidR="00847F1C" w:rsidRDefault="00847F1C" w:rsidP="00847F1C">
            <w:pPr>
              <w:pStyle w:val="KeinLeerraum"/>
              <w:jc w:val="right"/>
              <w:rPr>
                <w:rFonts w:ascii="Arial" w:hAnsi="Arial" w:cs="Arial"/>
                <w:sz w:val="24"/>
                <w:szCs w:val="24"/>
              </w:rPr>
            </w:pPr>
            <w:r w:rsidRPr="00847F1C">
              <w:rPr>
                <w:rFonts w:ascii="Arial" w:hAnsi="Arial" w:cs="Arial"/>
                <w:color w:val="FF0000"/>
                <w:sz w:val="24"/>
                <w:szCs w:val="24"/>
              </w:rPr>
              <w:t>/30 Tage</w:t>
            </w:r>
          </w:p>
        </w:tc>
        <w:tc>
          <w:tcPr>
            <w:tcW w:w="1275" w:type="dxa"/>
            <w:gridSpan w:val="2"/>
          </w:tcPr>
          <w:p w:rsidR="00847F1C" w:rsidRDefault="00847F1C" w:rsidP="002A1EB0">
            <w:pPr>
              <w:pStyle w:val="KeinLeerraum"/>
              <w:jc w:val="right"/>
              <w:rPr>
                <w:rFonts w:ascii="Arial" w:hAnsi="Arial" w:cs="Arial"/>
                <w:sz w:val="24"/>
                <w:szCs w:val="24"/>
              </w:rPr>
            </w:pPr>
          </w:p>
          <w:p w:rsidR="00847F1C" w:rsidRDefault="00847F1C" w:rsidP="002A1EB0">
            <w:pPr>
              <w:pStyle w:val="KeinLeerraum"/>
              <w:jc w:val="right"/>
              <w:rPr>
                <w:rFonts w:ascii="Arial" w:hAnsi="Arial" w:cs="Arial"/>
                <w:sz w:val="24"/>
                <w:szCs w:val="24"/>
              </w:rPr>
            </w:pPr>
          </w:p>
          <w:p w:rsidR="00EE4B9D" w:rsidRDefault="00847F1C" w:rsidP="00EE4B9D">
            <w:pPr>
              <w:pStyle w:val="KeinLeerraum"/>
              <w:jc w:val="right"/>
              <w:rPr>
                <w:rFonts w:ascii="Arial" w:hAnsi="Arial" w:cs="Arial"/>
                <w:sz w:val="24"/>
                <w:szCs w:val="24"/>
              </w:rPr>
            </w:pPr>
            <w:r>
              <w:rPr>
                <w:rFonts w:ascii="Arial" w:hAnsi="Arial" w:cs="Arial"/>
                <w:sz w:val="24"/>
                <w:szCs w:val="24"/>
              </w:rPr>
              <w:t xml:space="preserve">(= </w:t>
            </w:r>
            <w:r w:rsidR="00EE4B9D">
              <w:rPr>
                <w:rFonts w:ascii="Arial" w:hAnsi="Arial" w:cs="Arial"/>
                <w:sz w:val="24"/>
                <w:szCs w:val="24"/>
              </w:rPr>
              <w:t>M</w:t>
            </w:r>
            <w:r>
              <w:rPr>
                <w:rFonts w:ascii="Arial" w:hAnsi="Arial" w:cs="Arial"/>
                <w:sz w:val="24"/>
                <w:szCs w:val="24"/>
              </w:rPr>
              <w:t>onat)</w:t>
            </w:r>
          </w:p>
          <w:p w:rsidR="00847F1C" w:rsidRDefault="00847F1C" w:rsidP="002A1EB0">
            <w:pPr>
              <w:pStyle w:val="KeinLeerraum"/>
              <w:jc w:val="right"/>
              <w:rPr>
                <w:rFonts w:ascii="Arial" w:hAnsi="Arial" w:cs="Arial"/>
                <w:sz w:val="24"/>
                <w:szCs w:val="24"/>
              </w:rPr>
            </w:pPr>
          </w:p>
          <w:p w:rsidR="00847F1C" w:rsidRDefault="00847F1C" w:rsidP="002A1EB0">
            <w:pPr>
              <w:pStyle w:val="KeinLeerraum"/>
              <w:jc w:val="right"/>
              <w:rPr>
                <w:rFonts w:ascii="Arial" w:hAnsi="Arial" w:cs="Arial"/>
                <w:sz w:val="24"/>
                <w:szCs w:val="24"/>
              </w:rPr>
            </w:pPr>
          </w:p>
          <w:p w:rsidR="00847F1C" w:rsidRDefault="00847F1C" w:rsidP="002A1EB0">
            <w:pPr>
              <w:pStyle w:val="KeinLeerraum"/>
              <w:jc w:val="right"/>
              <w:rPr>
                <w:rFonts w:ascii="Arial" w:hAnsi="Arial" w:cs="Arial"/>
                <w:sz w:val="24"/>
                <w:szCs w:val="24"/>
              </w:rPr>
            </w:pPr>
            <w:r>
              <w:rPr>
                <w:rFonts w:ascii="Arial" w:hAnsi="Arial" w:cs="Arial"/>
                <w:sz w:val="24"/>
                <w:szCs w:val="24"/>
              </w:rPr>
              <w:t>(= Monat</w:t>
            </w:r>
            <w:r w:rsidR="00B742E1">
              <w:rPr>
                <w:rFonts w:ascii="Arial" w:hAnsi="Arial" w:cs="Arial"/>
                <w:sz w:val="24"/>
                <w:szCs w:val="24"/>
              </w:rPr>
              <w:t>)</w:t>
            </w:r>
          </w:p>
          <w:p w:rsidR="00847F1C" w:rsidRDefault="00847F1C" w:rsidP="002A1EB0">
            <w:pPr>
              <w:pStyle w:val="KeinLeerraum"/>
              <w:jc w:val="right"/>
              <w:rPr>
                <w:rFonts w:ascii="Arial" w:hAnsi="Arial" w:cs="Arial"/>
                <w:sz w:val="24"/>
                <w:szCs w:val="24"/>
              </w:rPr>
            </w:pPr>
          </w:p>
        </w:tc>
      </w:tr>
      <w:tr w:rsidR="004E5C9F" w:rsidTr="00EE4B9D">
        <w:trPr>
          <w:gridAfter w:val="1"/>
          <w:wAfter w:w="236" w:type="dxa"/>
          <w:trHeight w:val="276"/>
        </w:trPr>
        <w:tc>
          <w:tcPr>
            <w:tcW w:w="751" w:type="dxa"/>
          </w:tcPr>
          <w:p w:rsidR="004E5C9F" w:rsidRDefault="004E5C9F" w:rsidP="002A1EB0">
            <w:pPr>
              <w:pStyle w:val="KeinLeerraum"/>
              <w:rPr>
                <w:rFonts w:ascii="Arial" w:hAnsi="Arial" w:cs="Arial"/>
                <w:sz w:val="24"/>
                <w:szCs w:val="24"/>
              </w:rPr>
            </w:pPr>
            <w:r>
              <w:rPr>
                <w:rFonts w:ascii="Arial" w:hAnsi="Arial" w:cs="Arial"/>
                <w:sz w:val="24"/>
                <w:szCs w:val="24"/>
              </w:rPr>
              <w:t>1.12</w:t>
            </w:r>
          </w:p>
        </w:tc>
        <w:tc>
          <w:tcPr>
            <w:tcW w:w="3185" w:type="dxa"/>
          </w:tcPr>
          <w:p w:rsidR="004E5C9F" w:rsidRDefault="004E5C9F" w:rsidP="002A1EB0">
            <w:pPr>
              <w:pStyle w:val="KeinLeerraum"/>
              <w:rPr>
                <w:rFonts w:ascii="Arial" w:hAnsi="Arial" w:cs="Arial"/>
                <w:sz w:val="24"/>
                <w:szCs w:val="24"/>
              </w:rPr>
            </w:pPr>
            <w:r>
              <w:rPr>
                <w:rFonts w:ascii="Arial" w:hAnsi="Arial" w:cs="Arial"/>
                <w:sz w:val="24"/>
                <w:szCs w:val="24"/>
              </w:rPr>
              <w:t>Sonstige private Benutzung</w:t>
            </w:r>
          </w:p>
          <w:p w:rsidR="004E5C9F" w:rsidRDefault="004E5C9F" w:rsidP="002A1EB0">
            <w:pPr>
              <w:pStyle w:val="KeinLeerraum"/>
              <w:rPr>
                <w:rFonts w:ascii="Arial" w:hAnsi="Arial" w:cs="Arial"/>
                <w:sz w:val="24"/>
                <w:szCs w:val="24"/>
              </w:rPr>
            </w:pPr>
          </w:p>
          <w:p w:rsidR="00655636" w:rsidRDefault="00655636" w:rsidP="002A1EB0">
            <w:pPr>
              <w:pStyle w:val="KeinLeerraum"/>
              <w:rPr>
                <w:rFonts w:ascii="Arial" w:hAnsi="Arial" w:cs="Arial"/>
                <w:sz w:val="24"/>
                <w:szCs w:val="24"/>
              </w:rPr>
            </w:pPr>
          </w:p>
        </w:tc>
        <w:tc>
          <w:tcPr>
            <w:tcW w:w="1984" w:type="dxa"/>
            <w:gridSpan w:val="2"/>
          </w:tcPr>
          <w:p w:rsidR="004E5C9F" w:rsidRDefault="004E5C9F" w:rsidP="00E05B7F">
            <w:pPr>
              <w:pStyle w:val="KeinLeerraum"/>
              <w:jc w:val="right"/>
              <w:rPr>
                <w:rFonts w:ascii="Arial" w:hAnsi="Arial" w:cs="Arial"/>
                <w:sz w:val="24"/>
                <w:szCs w:val="24"/>
              </w:rPr>
            </w:pPr>
            <w:r>
              <w:rPr>
                <w:rFonts w:ascii="Arial" w:hAnsi="Arial" w:cs="Arial"/>
                <w:sz w:val="24"/>
                <w:szCs w:val="24"/>
              </w:rPr>
              <w:lastRenderedPageBreak/>
              <w:t xml:space="preserve">50,00 – 10.000,00 </w:t>
            </w:r>
            <w:r w:rsidR="00E05B7F">
              <w:rPr>
                <w:rFonts w:ascii="Arial" w:hAnsi="Arial" w:cs="Arial"/>
                <w:sz w:val="24"/>
                <w:szCs w:val="24"/>
              </w:rPr>
              <w:t>EUR</w:t>
            </w:r>
          </w:p>
        </w:tc>
        <w:tc>
          <w:tcPr>
            <w:tcW w:w="1985" w:type="dxa"/>
            <w:gridSpan w:val="3"/>
          </w:tcPr>
          <w:p w:rsidR="00E05B7F" w:rsidRDefault="000D639C" w:rsidP="00E05B7F">
            <w:pPr>
              <w:pStyle w:val="KeinLeerraum"/>
              <w:jc w:val="right"/>
              <w:rPr>
                <w:rFonts w:ascii="Arial" w:hAnsi="Arial" w:cs="Arial"/>
                <w:color w:val="FF0000"/>
                <w:sz w:val="24"/>
                <w:szCs w:val="24"/>
              </w:rPr>
            </w:pPr>
            <w:r>
              <w:rPr>
                <w:rFonts w:ascii="Arial" w:hAnsi="Arial" w:cs="Arial"/>
                <w:color w:val="FF0000"/>
                <w:sz w:val="24"/>
                <w:szCs w:val="24"/>
              </w:rPr>
              <w:t>60</w:t>
            </w:r>
            <w:r w:rsidR="00E05B7F">
              <w:rPr>
                <w:rFonts w:ascii="Arial" w:hAnsi="Arial" w:cs="Arial"/>
                <w:color w:val="FF0000"/>
                <w:sz w:val="24"/>
                <w:szCs w:val="24"/>
              </w:rPr>
              <w:t>,00 –</w:t>
            </w:r>
          </w:p>
          <w:p w:rsidR="004E5C9F" w:rsidRPr="00847F1C" w:rsidRDefault="004E5C9F" w:rsidP="00E05B7F">
            <w:pPr>
              <w:pStyle w:val="KeinLeerraum"/>
              <w:jc w:val="right"/>
              <w:rPr>
                <w:rFonts w:ascii="Arial" w:hAnsi="Arial" w:cs="Arial"/>
                <w:color w:val="FF0000"/>
                <w:sz w:val="24"/>
                <w:szCs w:val="24"/>
              </w:rPr>
            </w:pPr>
            <w:r w:rsidRPr="00847F1C">
              <w:rPr>
                <w:rFonts w:ascii="Arial" w:hAnsi="Arial" w:cs="Arial"/>
                <w:color w:val="FF0000"/>
                <w:sz w:val="24"/>
                <w:szCs w:val="24"/>
              </w:rPr>
              <w:t>1</w:t>
            </w:r>
            <w:r w:rsidR="000D639C">
              <w:rPr>
                <w:rFonts w:ascii="Arial" w:hAnsi="Arial" w:cs="Arial"/>
                <w:color w:val="FF0000"/>
                <w:sz w:val="24"/>
                <w:szCs w:val="24"/>
              </w:rPr>
              <w:t>2</w:t>
            </w:r>
            <w:r w:rsidRPr="00847F1C">
              <w:rPr>
                <w:rFonts w:ascii="Arial" w:hAnsi="Arial" w:cs="Arial"/>
                <w:color w:val="FF0000"/>
                <w:sz w:val="24"/>
                <w:szCs w:val="24"/>
              </w:rPr>
              <w:t>.000</w:t>
            </w:r>
            <w:r>
              <w:rPr>
                <w:rFonts w:ascii="Arial" w:hAnsi="Arial" w:cs="Arial"/>
                <w:color w:val="FF0000"/>
                <w:sz w:val="24"/>
                <w:szCs w:val="24"/>
              </w:rPr>
              <w:t>,00</w:t>
            </w:r>
            <w:r w:rsidRPr="00847F1C">
              <w:rPr>
                <w:rFonts w:ascii="Arial" w:hAnsi="Arial" w:cs="Arial"/>
                <w:color w:val="FF0000"/>
                <w:sz w:val="24"/>
                <w:szCs w:val="24"/>
              </w:rPr>
              <w:t xml:space="preserve"> </w:t>
            </w:r>
            <w:r w:rsidR="00E05B7F">
              <w:rPr>
                <w:rFonts w:ascii="Arial" w:hAnsi="Arial" w:cs="Arial"/>
                <w:color w:val="FF0000"/>
                <w:sz w:val="24"/>
                <w:szCs w:val="24"/>
              </w:rPr>
              <w:t>EUR</w:t>
            </w:r>
          </w:p>
        </w:tc>
        <w:tc>
          <w:tcPr>
            <w:tcW w:w="1275" w:type="dxa"/>
            <w:gridSpan w:val="2"/>
          </w:tcPr>
          <w:p w:rsidR="004E5C9F" w:rsidRDefault="004E5C9F" w:rsidP="002A1EB0">
            <w:pPr>
              <w:pStyle w:val="KeinLeerraum"/>
              <w:jc w:val="right"/>
              <w:rPr>
                <w:rFonts w:ascii="Arial" w:hAnsi="Arial" w:cs="Arial"/>
                <w:color w:val="FF0000"/>
                <w:sz w:val="24"/>
                <w:szCs w:val="24"/>
              </w:rPr>
            </w:pPr>
          </w:p>
          <w:p w:rsidR="00394975" w:rsidRPr="00394975" w:rsidRDefault="00394975" w:rsidP="002A1EB0">
            <w:pPr>
              <w:pStyle w:val="KeinLeerraum"/>
              <w:jc w:val="right"/>
              <w:rPr>
                <w:rFonts w:ascii="Arial" w:hAnsi="Arial" w:cs="Arial"/>
                <w:sz w:val="24"/>
                <w:szCs w:val="24"/>
              </w:rPr>
            </w:pPr>
            <w:r w:rsidRPr="00394975">
              <w:rPr>
                <w:rFonts w:ascii="Arial" w:hAnsi="Arial" w:cs="Arial"/>
                <w:sz w:val="24"/>
                <w:szCs w:val="24"/>
              </w:rPr>
              <w:t>jährlich</w:t>
            </w:r>
          </w:p>
        </w:tc>
      </w:tr>
    </w:tbl>
    <w:p w:rsidR="003A7948" w:rsidRDefault="003A7948"/>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
        <w:gridCol w:w="8301"/>
      </w:tblGrid>
      <w:tr w:rsidR="00847F1C" w:rsidTr="00847F1C">
        <w:trPr>
          <w:trHeight w:val="276"/>
        </w:trPr>
        <w:tc>
          <w:tcPr>
            <w:tcW w:w="751" w:type="dxa"/>
          </w:tcPr>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2.</w:t>
            </w:r>
          </w:p>
        </w:tc>
        <w:tc>
          <w:tcPr>
            <w:tcW w:w="8301" w:type="dxa"/>
          </w:tcPr>
          <w:p w:rsidR="00847F1C" w:rsidRPr="00E05B7F" w:rsidRDefault="00847F1C" w:rsidP="002A1EB0">
            <w:pPr>
              <w:pStyle w:val="KeinLeerraum"/>
              <w:rPr>
                <w:rFonts w:ascii="Arial" w:hAnsi="Arial" w:cs="Arial"/>
                <w:sz w:val="24"/>
                <w:szCs w:val="24"/>
                <w:u w:val="single"/>
              </w:rPr>
            </w:pPr>
            <w:r w:rsidRPr="00E05B7F">
              <w:rPr>
                <w:rFonts w:ascii="Arial" w:hAnsi="Arial" w:cs="Arial"/>
                <w:sz w:val="24"/>
                <w:szCs w:val="24"/>
                <w:u w:val="single"/>
              </w:rPr>
              <w:t>Vermiedene Investitionen</w:t>
            </w:r>
          </w:p>
          <w:p w:rsidR="00847F1C" w:rsidRPr="00E05B7F" w:rsidRDefault="00847F1C" w:rsidP="002A1EB0">
            <w:pPr>
              <w:pStyle w:val="KeinLeerraum"/>
              <w:rPr>
                <w:rFonts w:ascii="Arial" w:hAnsi="Arial" w:cs="Arial"/>
                <w:sz w:val="24"/>
                <w:szCs w:val="24"/>
                <w:u w:val="single"/>
              </w:rPr>
            </w:pPr>
          </w:p>
          <w:p w:rsidR="00847F1C" w:rsidRPr="00E05B7F" w:rsidRDefault="00847F1C" w:rsidP="002A1EB0">
            <w:pPr>
              <w:pStyle w:val="KeinLeerraum"/>
              <w:rPr>
                <w:rFonts w:ascii="Arial" w:hAnsi="Arial" w:cs="Arial"/>
                <w:sz w:val="24"/>
                <w:szCs w:val="24"/>
              </w:rPr>
            </w:pPr>
            <w:r w:rsidRPr="00E05B7F">
              <w:rPr>
                <w:rFonts w:ascii="Arial" w:hAnsi="Arial" w:cs="Arial"/>
                <w:sz w:val="24"/>
                <w:szCs w:val="24"/>
              </w:rPr>
              <w:t>Erspart der Gestattungsnehmer durch die Gestattung nach Ziff. 1. eigene Investitionen, kann dieser Vorteil durch eine einmalige Zahlung von 30 % der vermiedenen Investitionen zusätzlich zum Gestattungsentgelt abgegolten werden. Die vermiedenen Investitionen sind durch eine Kostenschätzung nach DIN 276 nachzuweisen.</w:t>
            </w:r>
          </w:p>
          <w:p w:rsidR="00847F1C" w:rsidRPr="00E05B7F" w:rsidRDefault="00847F1C" w:rsidP="002A1EB0">
            <w:pPr>
              <w:pStyle w:val="KeinLeerraum"/>
              <w:jc w:val="right"/>
              <w:rPr>
                <w:rFonts w:ascii="Arial" w:hAnsi="Arial" w:cs="Arial"/>
                <w:sz w:val="24"/>
                <w:szCs w:val="24"/>
              </w:rPr>
            </w:pPr>
          </w:p>
        </w:tc>
      </w:tr>
    </w:tbl>
    <w:p w:rsidR="003A7948" w:rsidRDefault="003A7948"/>
    <w:p w:rsidR="003B36EA" w:rsidRDefault="003B36EA"/>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
        <w:gridCol w:w="2759"/>
        <w:gridCol w:w="2410"/>
        <w:gridCol w:w="1843"/>
        <w:gridCol w:w="1289"/>
      </w:tblGrid>
      <w:tr w:rsidR="00847F1C" w:rsidTr="00847F1C">
        <w:trPr>
          <w:trHeight w:val="276"/>
        </w:trPr>
        <w:tc>
          <w:tcPr>
            <w:tcW w:w="751" w:type="dxa"/>
          </w:tcPr>
          <w:p w:rsidR="00847F1C" w:rsidRDefault="00847F1C" w:rsidP="002A1EB0">
            <w:pPr>
              <w:pStyle w:val="KeinLeerraum"/>
              <w:rPr>
                <w:rFonts w:ascii="Arial" w:hAnsi="Arial" w:cs="Arial"/>
                <w:sz w:val="24"/>
                <w:szCs w:val="24"/>
              </w:rPr>
            </w:pPr>
            <w:r>
              <w:rPr>
                <w:rFonts w:ascii="Arial" w:hAnsi="Arial" w:cs="Arial"/>
                <w:sz w:val="24"/>
                <w:szCs w:val="24"/>
              </w:rPr>
              <w:t>3.</w:t>
            </w:r>
          </w:p>
        </w:tc>
        <w:tc>
          <w:tcPr>
            <w:tcW w:w="8301" w:type="dxa"/>
            <w:gridSpan w:val="4"/>
          </w:tcPr>
          <w:p w:rsidR="00847F1C" w:rsidRPr="002A4775" w:rsidRDefault="00847F1C" w:rsidP="002A4775">
            <w:pPr>
              <w:pStyle w:val="KeinLeerraum"/>
              <w:rPr>
                <w:rFonts w:ascii="Arial" w:hAnsi="Arial" w:cs="Arial"/>
                <w:sz w:val="24"/>
                <w:szCs w:val="24"/>
                <w:u w:val="single"/>
              </w:rPr>
            </w:pPr>
            <w:r w:rsidRPr="002A4775">
              <w:rPr>
                <w:rFonts w:ascii="Arial" w:hAnsi="Arial" w:cs="Arial"/>
                <w:sz w:val="24"/>
                <w:szCs w:val="24"/>
                <w:u w:val="single"/>
              </w:rPr>
              <w:t>Verwaltungskostenpauschale</w:t>
            </w:r>
          </w:p>
          <w:p w:rsidR="00847F1C" w:rsidRDefault="00847F1C" w:rsidP="002A4775">
            <w:pPr>
              <w:pStyle w:val="KeinLeerraum"/>
              <w:rPr>
                <w:rFonts w:ascii="Arial" w:hAnsi="Arial" w:cs="Arial"/>
                <w:sz w:val="24"/>
                <w:szCs w:val="24"/>
              </w:rPr>
            </w:pPr>
          </w:p>
          <w:p w:rsidR="00847F1C" w:rsidRDefault="00847F1C" w:rsidP="002A4775">
            <w:pPr>
              <w:pStyle w:val="KeinLeerraum"/>
              <w:rPr>
                <w:rFonts w:ascii="Arial" w:hAnsi="Arial" w:cs="Arial"/>
                <w:sz w:val="24"/>
                <w:szCs w:val="24"/>
              </w:rPr>
            </w:pPr>
            <w:r>
              <w:rPr>
                <w:rFonts w:ascii="Arial" w:hAnsi="Arial" w:cs="Arial"/>
                <w:sz w:val="24"/>
                <w:szCs w:val="24"/>
              </w:rPr>
              <w:t>Zusätzlich zu den Entgelten nach Ziff. 1.1 bis</w:t>
            </w:r>
            <w:r w:rsidR="008505A7">
              <w:rPr>
                <w:rFonts w:ascii="Arial" w:hAnsi="Arial" w:cs="Arial"/>
                <w:sz w:val="24"/>
                <w:szCs w:val="24"/>
              </w:rPr>
              <w:t xml:space="preserve"> </w:t>
            </w:r>
            <w:r>
              <w:rPr>
                <w:rFonts w:ascii="Arial" w:hAnsi="Arial" w:cs="Arial"/>
                <w:sz w:val="24"/>
                <w:szCs w:val="24"/>
              </w:rPr>
              <w:t>1.8 und bei Ziffer 4.1</w:t>
            </w:r>
          </w:p>
          <w:p w:rsidR="00847F1C" w:rsidRDefault="00847F1C" w:rsidP="002A4775">
            <w:pPr>
              <w:pStyle w:val="KeinLeerraum"/>
              <w:rPr>
                <w:rFonts w:ascii="Arial" w:hAnsi="Arial" w:cs="Arial"/>
                <w:sz w:val="24"/>
                <w:szCs w:val="24"/>
              </w:rPr>
            </w:pPr>
            <w:r>
              <w:rPr>
                <w:rFonts w:ascii="Arial" w:hAnsi="Arial" w:cs="Arial"/>
                <w:sz w:val="24"/>
                <w:szCs w:val="24"/>
              </w:rPr>
              <w:t>Abschluss von Gestattungsverträgen</w:t>
            </w:r>
          </w:p>
          <w:p w:rsidR="00847F1C" w:rsidRDefault="00847F1C" w:rsidP="002A4775">
            <w:pPr>
              <w:pStyle w:val="KeinLeerraum"/>
              <w:rPr>
                <w:rFonts w:ascii="Arial" w:hAnsi="Arial" w:cs="Arial"/>
                <w:sz w:val="24"/>
                <w:szCs w:val="24"/>
              </w:rPr>
            </w:pPr>
          </w:p>
        </w:tc>
      </w:tr>
      <w:tr w:rsidR="00D62DF6" w:rsidTr="00E05B7F">
        <w:trPr>
          <w:trHeight w:val="276"/>
        </w:trPr>
        <w:tc>
          <w:tcPr>
            <w:tcW w:w="751" w:type="dxa"/>
          </w:tcPr>
          <w:p w:rsidR="00D62DF6" w:rsidRDefault="00D62DF6" w:rsidP="002A1EB0">
            <w:pPr>
              <w:pStyle w:val="KeinLeerraum"/>
              <w:rPr>
                <w:rFonts w:ascii="Arial" w:hAnsi="Arial" w:cs="Arial"/>
                <w:sz w:val="24"/>
                <w:szCs w:val="24"/>
              </w:rPr>
            </w:pPr>
          </w:p>
        </w:tc>
        <w:tc>
          <w:tcPr>
            <w:tcW w:w="2759" w:type="dxa"/>
          </w:tcPr>
          <w:p w:rsidR="00D62DF6" w:rsidRDefault="00D62DF6" w:rsidP="002A1EB0">
            <w:pPr>
              <w:pStyle w:val="KeinLeerraum"/>
              <w:rPr>
                <w:rFonts w:ascii="Arial" w:hAnsi="Arial" w:cs="Arial"/>
                <w:sz w:val="24"/>
                <w:szCs w:val="24"/>
              </w:rPr>
            </w:pPr>
            <w:r>
              <w:rPr>
                <w:rFonts w:ascii="Arial" w:hAnsi="Arial" w:cs="Arial"/>
                <w:sz w:val="24"/>
                <w:szCs w:val="24"/>
              </w:rPr>
              <w:t>einfache Prüfung</w:t>
            </w:r>
          </w:p>
          <w:p w:rsidR="00D62DF6" w:rsidRDefault="00D62DF6" w:rsidP="002A1EB0">
            <w:pPr>
              <w:pStyle w:val="KeinLeerraum"/>
              <w:rPr>
                <w:rFonts w:ascii="Arial" w:hAnsi="Arial" w:cs="Arial"/>
                <w:sz w:val="24"/>
                <w:szCs w:val="24"/>
              </w:rPr>
            </w:pPr>
          </w:p>
          <w:p w:rsidR="00D62DF6" w:rsidRDefault="00D62DF6" w:rsidP="002A1EB0">
            <w:pPr>
              <w:pStyle w:val="KeinLeerraum"/>
              <w:rPr>
                <w:rFonts w:ascii="Arial" w:hAnsi="Arial" w:cs="Arial"/>
                <w:sz w:val="24"/>
                <w:szCs w:val="24"/>
              </w:rPr>
            </w:pPr>
            <w:r>
              <w:rPr>
                <w:rFonts w:ascii="Arial" w:hAnsi="Arial" w:cs="Arial"/>
                <w:sz w:val="24"/>
                <w:szCs w:val="24"/>
              </w:rPr>
              <w:t>umfangreiche Prüfung</w:t>
            </w:r>
          </w:p>
        </w:tc>
        <w:tc>
          <w:tcPr>
            <w:tcW w:w="2410" w:type="dxa"/>
          </w:tcPr>
          <w:p w:rsidR="00D62DF6" w:rsidRDefault="00D62DF6" w:rsidP="00D62DF6">
            <w:pPr>
              <w:pStyle w:val="KeinLeerraum"/>
              <w:jc w:val="right"/>
              <w:rPr>
                <w:rFonts w:ascii="Arial" w:hAnsi="Arial" w:cs="Arial"/>
                <w:sz w:val="24"/>
                <w:szCs w:val="24"/>
              </w:rPr>
            </w:pPr>
            <w:r>
              <w:rPr>
                <w:rFonts w:ascii="Arial" w:hAnsi="Arial" w:cs="Arial"/>
                <w:sz w:val="24"/>
                <w:szCs w:val="24"/>
              </w:rPr>
              <w:t xml:space="preserve">60,00 </w:t>
            </w:r>
            <w:r w:rsidR="00E05B7F">
              <w:rPr>
                <w:rFonts w:ascii="Arial" w:hAnsi="Arial" w:cs="Arial"/>
                <w:sz w:val="24"/>
                <w:szCs w:val="24"/>
              </w:rPr>
              <w:t>EUR</w:t>
            </w:r>
          </w:p>
          <w:p w:rsidR="00D62DF6" w:rsidRDefault="00D62DF6" w:rsidP="00D62DF6">
            <w:pPr>
              <w:pStyle w:val="KeinLeerraum"/>
              <w:jc w:val="right"/>
              <w:rPr>
                <w:rFonts w:ascii="Arial" w:hAnsi="Arial" w:cs="Arial"/>
                <w:sz w:val="24"/>
                <w:szCs w:val="24"/>
              </w:rPr>
            </w:pPr>
          </w:p>
          <w:p w:rsidR="00E05B7F" w:rsidRDefault="00544C77" w:rsidP="00D62DF6">
            <w:pPr>
              <w:pStyle w:val="KeinLeerraum"/>
              <w:jc w:val="right"/>
              <w:rPr>
                <w:rFonts w:ascii="Arial" w:hAnsi="Arial" w:cs="Arial"/>
                <w:sz w:val="24"/>
                <w:szCs w:val="24"/>
              </w:rPr>
            </w:pPr>
            <w:r>
              <w:rPr>
                <w:rFonts w:ascii="Arial" w:hAnsi="Arial" w:cs="Arial"/>
                <w:sz w:val="24"/>
                <w:szCs w:val="24"/>
              </w:rPr>
              <w:t xml:space="preserve">61,00 – </w:t>
            </w:r>
          </w:p>
          <w:p w:rsidR="00D62DF6" w:rsidRDefault="00544C77" w:rsidP="00D62DF6">
            <w:pPr>
              <w:pStyle w:val="KeinLeerraum"/>
              <w:jc w:val="right"/>
              <w:rPr>
                <w:rFonts w:ascii="Arial" w:hAnsi="Arial" w:cs="Arial"/>
                <w:sz w:val="24"/>
                <w:szCs w:val="24"/>
              </w:rPr>
            </w:pPr>
            <w:r>
              <w:rPr>
                <w:rFonts w:ascii="Arial" w:hAnsi="Arial" w:cs="Arial"/>
                <w:sz w:val="24"/>
                <w:szCs w:val="24"/>
              </w:rPr>
              <w:t>1.000</w:t>
            </w:r>
            <w:r w:rsidR="00513096">
              <w:rPr>
                <w:rFonts w:ascii="Arial" w:hAnsi="Arial" w:cs="Arial"/>
                <w:sz w:val="24"/>
                <w:szCs w:val="24"/>
              </w:rPr>
              <w:t>,00</w:t>
            </w:r>
            <w:r w:rsidR="00E05B7F">
              <w:rPr>
                <w:rFonts w:ascii="Arial" w:hAnsi="Arial" w:cs="Arial"/>
                <w:sz w:val="24"/>
                <w:szCs w:val="24"/>
              </w:rPr>
              <w:t xml:space="preserve"> EUR</w:t>
            </w:r>
          </w:p>
          <w:p w:rsidR="00D62DF6" w:rsidRDefault="00D62DF6" w:rsidP="002A1EB0">
            <w:pPr>
              <w:pStyle w:val="KeinLeerraum"/>
              <w:rPr>
                <w:rFonts w:ascii="Arial" w:hAnsi="Arial" w:cs="Arial"/>
                <w:sz w:val="24"/>
                <w:szCs w:val="24"/>
              </w:rPr>
            </w:pPr>
          </w:p>
        </w:tc>
        <w:tc>
          <w:tcPr>
            <w:tcW w:w="1843" w:type="dxa"/>
          </w:tcPr>
          <w:p w:rsidR="00D62DF6" w:rsidRPr="003A6C64" w:rsidRDefault="000D639C" w:rsidP="002A4775">
            <w:pPr>
              <w:pStyle w:val="KeinLeerraum"/>
              <w:jc w:val="right"/>
              <w:rPr>
                <w:rFonts w:ascii="Arial" w:hAnsi="Arial" w:cs="Arial"/>
                <w:color w:val="FF0000"/>
                <w:sz w:val="24"/>
                <w:szCs w:val="24"/>
              </w:rPr>
            </w:pPr>
            <w:r>
              <w:rPr>
                <w:rFonts w:ascii="Arial" w:hAnsi="Arial" w:cs="Arial"/>
                <w:color w:val="FF0000"/>
                <w:sz w:val="24"/>
                <w:szCs w:val="24"/>
              </w:rPr>
              <w:t>70</w:t>
            </w:r>
            <w:r w:rsidR="00E05B7F">
              <w:rPr>
                <w:rFonts w:ascii="Arial" w:hAnsi="Arial" w:cs="Arial"/>
                <w:color w:val="FF0000"/>
                <w:sz w:val="24"/>
                <w:szCs w:val="24"/>
              </w:rPr>
              <w:t>,00 EUR</w:t>
            </w:r>
          </w:p>
          <w:p w:rsidR="00D62DF6" w:rsidRPr="003A6C64" w:rsidRDefault="00D62DF6" w:rsidP="002A4775">
            <w:pPr>
              <w:pStyle w:val="KeinLeerraum"/>
              <w:jc w:val="right"/>
              <w:rPr>
                <w:rFonts w:ascii="Arial" w:hAnsi="Arial" w:cs="Arial"/>
                <w:color w:val="FF0000"/>
                <w:sz w:val="24"/>
                <w:szCs w:val="24"/>
              </w:rPr>
            </w:pPr>
          </w:p>
          <w:p w:rsidR="00D62DF6" w:rsidRDefault="000D639C" w:rsidP="00C97C9E">
            <w:pPr>
              <w:pStyle w:val="KeinLeerraum"/>
              <w:jc w:val="right"/>
              <w:rPr>
                <w:rFonts w:ascii="Arial" w:hAnsi="Arial" w:cs="Arial"/>
                <w:sz w:val="24"/>
                <w:szCs w:val="24"/>
              </w:rPr>
            </w:pPr>
            <w:r>
              <w:rPr>
                <w:rFonts w:ascii="Arial" w:hAnsi="Arial" w:cs="Arial"/>
                <w:color w:val="FF0000"/>
                <w:sz w:val="24"/>
                <w:szCs w:val="24"/>
              </w:rPr>
              <w:t>7</w:t>
            </w:r>
            <w:r w:rsidR="00C97C9E">
              <w:rPr>
                <w:rFonts w:ascii="Arial" w:hAnsi="Arial" w:cs="Arial"/>
                <w:color w:val="FF0000"/>
                <w:sz w:val="24"/>
                <w:szCs w:val="24"/>
              </w:rPr>
              <w:t>1</w:t>
            </w:r>
            <w:r w:rsidR="00D62DF6" w:rsidRPr="003A6C64">
              <w:rPr>
                <w:rFonts w:ascii="Arial" w:hAnsi="Arial" w:cs="Arial"/>
                <w:color w:val="FF0000"/>
                <w:sz w:val="24"/>
                <w:szCs w:val="24"/>
              </w:rPr>
              <w:t>,00 – 1.</w:t>
            </w:r>
            <w:r>
              <w:rPr>
                <w:rFonts w:ascii="Arial" w:hAnsi="Arial" w:cs="Arial"/>
                <w:color w:val="FF0000"/>
                <w:sz w:val="24"/>
                <w:szCs w:val="24"/>
              </w:rPr>
              <w:t>2</w:t>
            </w:r>
            <w:r w:rsidR="00D62DF6" w:rsidRPr="003A6C64">
              <w:rPr>
                <w:rFonts w:ascii="Arial" w:hAnsi="Arial" w:cs="Arial"/>
                <w:color w:val="FF0000"/>
                <w:sz w:val="24"/>
                <w:szCs w:val="24"/>
              </w:rPr>
              <w:t>00</w:t>
            </w:r>
            <w:r w:rsidR="00513096">
              <w:rPr>
                <w:rFonts w:ascii="Arial" w:hAnsi="Arial" w:cs="Arial"/>
                <w:color w:val="FF0000"/>
                <w:sz w:val="24"/>
                <w:szCs w:val="24"/>
              </w:rPr>
              <w:t>,00</w:t>
            </w:r>
            <w:r w:rsidR="00D62DF6" w:rsidRPr="003A6C64">
              <w:rPr>
                <w:rFonts w:ascii="Arial" w:hAnsi="Arial" w:cs="Arial"/>
                <w:color w:val="FF0000"/>
                <w:sz w:val="24"/>
                <w:szCs w:val="24"/>
              </w:rPr>
              <w:t xml:space="preserve"> </w:t>
            </w:r>
            <w:r w:rsidR="00E05B7F">
              <w:rPr>
                <w:rFonts w:ascii="Arial" w:hAnsi="Arial" w:cs="Arial"/>
                <w:color w:val="FF0000"/>
                <w:sz w:val="24"/>
                <w:szCs w:val="24"/>
              </w:rPr>
              <w:t>EUR</w:t>
            </w:r>
          </w:p>
        </w:tc>
        <w:tc>
          <w:tcPr>
            <w:tcW w:w="1289" w:type="dxa"/>
          </w:tcPr>
          <w:p w:rsidR="00D62DF6" w:rsidRDefault="00D62DF6" w:rsidP="002A1EB0">
            <w:pPr>
              <w:pStyle w:val="KeinLeerraum"/>
              <w:jc w:val="right"/>
              <w:rPr>
                <w:rFonts w:ascii="Arial" w:hAnsi="Arial" w:cs="Arial"/>
                <w:sz w:val="24"/>
                <w:szCs w:val="24"/>
              </w:rPr>
            </w:pPr>
            <w:r>
              <w:rPr>
                <w:rFonts w:ascii="Arial" w:hAnsi="Arial" w:cs="Arial"/>
                <w:sz w:val="24"/>
                <w:szCs w:val="24"/>
              </w:rPr>
              <w:t>einmalig</w:t>
            </w:r>
          </w:p>
          <w:p w:rsidR="00D62DF6" w:rsidRDefault="00D62DF6" w:rsidP="002A1EB0">
            <w:pPr>
              <w:pStyle w:val="KeinLeerraum"/>
              <w:jc w:val="right"/>
              <w:rPr>
                <w:rFonts w:ascii="Arial" w:hAnsi="Arial" w:cs="Arial"/>
                <w:sz w:val="24"/>
                <w:szCs w:val="24"/>
              </w:rPr>
            </w:pPr>
          </w:p>
          <w:p w:rsidR="00D62DF6" w:rsidRDefault="00BD6A1D" w:rsidP="002A1EB0">
            <w:pPr>
              <w:pStyle w:val="KeinLeerraum"/>
              <w:jc w:val="right"/>
              <w:rPr>
                <w:rFonts w:ascii="Arial" w:hAnsi="Arial" w:cs="Arial"/>
                <w:sz w:val="24"/>
                <w:szCs w:val="24"/>
              </w:rPr>
            </w:pPr>
            <w:r>
              <w:rPr>
                <w:rFonts w:ascii="Arial" w:hAnsi="Arial" w:cs="Arial"/>
                <w:sz w:val="24"/>
                <w:szCs w:val="24"/>
              </w:rPr>
              <w:t>einmalig</w:t>
            </w:r>
          </w:p>
          <w:p w:rsidR="00BD6A1D" w:rsidRDefault="00BD6A1D" w:rsidP="00BD6A1D">
            <w:pPr>
              <w:pStyle w:val="KeinLeerraum"/>
              <w:rPr>
                <w:rFonts w:ascii="Arial" w:hAnsi="Arial" w:cs="Arial"/>
                <w:sz w:val="24"/>
                <w:szCs w:val="24"/>
              </w:rPr>
            </w:pPr>
          </w:p>
          <w:p w:rsidR="00BD6A1D" w:rsidRDefault="00BD6A1D" w:rsidP="00BD6A1D">
            <w:pPr>
              <w:pStyle w:val="KeinLeerraum"/>
              <w:rPr>
                <w:rFonts w:ascii="Arial" w:hAnsi="Arial" w:cs="Arial"/>
                <w:sz w:val="24"/>
                <w:szCs w:val="24"/>
              </w:rPr>
            </w:pPr>
          </w:p>
        </w:tc>
      </w:tr>
    </w:tbl>
    <w:p w:rsidR="003A7948" w:rsidRDefault="003A7948"/>
    <w:p w:rsidR="003B36EA" w:rsidRDefault="003B36EA"/>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1"/>
        <w:gridCol w:w="8301"/>
      </w:tblGrid>
      <w:tr w:rsidR="00847F1C"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w:t>
            </w:r>
          </w:p>
        </w:tc>
        <w:tc>
          <w:tcPr>
            <w:tcW w:w="8301" w:type="dxa"/>
          </w:tcPr>
          <w:p w:rsidR="00847F1C" w:rsidRPr="00E05B7F" w:rsidRDefault="00847F1C" w:rsidP="007D27BA">
            <w:pPr>
              <w:pStyle w:val="KeinLeerraum"/>
              <w:rPr>
                <w:rFonts w:ascii="Arial" w:hAnsi="Arial" w:cs="Arial"/>
                <w:sz w:val="24"/>
                <w:szCs w:val="24"/>
                <w:u w:val="single"/>
              </w:rPr>
            </w:pPr>
            <w:r w:rsidRPr="00E05B7F">
              <w:rPr>
                <w:rFonts w:ascii="Arial" w:hAnsi="Arial" w:cs="Arial"/>
                <w:sz w:val="24"/>
                <w:szCs w:val="24"/>
                <w:u w:val="single"/>
              </w:rPr>
              <w:t>Unentgeltliche Benutzung des öffentlichen Straßenraums für</w:t>
            </w:r>
          </w:p>
          <w:p w:rsidR="00847F1C" w:rsidRPr="00E05B7F" w:rsidRDefault="00847F1C" w:rsidP="007D27BA">
            <w:pPr>
              <w:pStyle w:val="KeinLeerraum"/>
              <w:rPr>
                <w:rFonts w:ascii="Arial" w:hAnsi="Arial" w:cs="Arial"/>
                <w:sz w:val="24"/>
                <w:szCs w:val="24"/>
              </w:rPr>
            </w:pPr>
          </w:p>
        </w:tc>
      </w:tr>
      <w:tr w:rsidR="00847F1C" w:rsidRPr="007D27BA"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4.1</w:t>
            </w:r>
          </w:p>
        </w:tc>
        <w:tc>
          <w:tcPr>
            <w:tcW w:w="830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 xml:space="preserve">private Kanäle für Abwasser, zu dessen Beseitigung die Stadt nach § </w:t>
            </w:r>
            <w:r w:rsidR="00C97C9E">
              <w:rPr>
                <w:rFonts w:ascii="Arial" w:hAnsi="Arial" w:cs="Arial"/>
                <w:sz w:val="24"/>
                <w:szCs w:val="24"/>
              </w:rPr>
              <w:t>46</w:t>
            </w:r>
            <w:r w:rsidRPr="00E05B7F">
              <w:rPr>
                <w:rFonts w:ascii="Arial" w:hAnsi="Arial" w:cs="Arial"/>
                <w:sz w:val="24"/>
                <w:szCs w:val="24"/>
              </w:rPr>
              <w:t xml:space="preserve"> WG verpflichtet ist,</w:t>
            </w:r>
          </w:p>
          <w:p w:rsidR="00847F1C" w:rsidRPr="00E05B7F" w:rsidRDefault="00847F1C" w:rsidP="007D27BA">
            <w:pPr>
              <w:pStyle w:val="KeinLeerraum"/>
              <w:rPr>
                <w:rFonts w:ascii="Arial" w:hAnsi="Arial" w:cs="Arial"/>
                <w:sz w:val="24"/>
                <w:szCs w:val="24"/>
              </w:rPr>
            </w:pPr>
          </w:p>
        </w:tc>
      </w:tr>
      <w:tr w:rsidR="00847F1C" w:rsidRPr="007D27BA"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4.2</w:t>
            </w:r>
          </w:p>
        </w:tc>
        <w:tc>
          <w:tcPr>
            <w:tcW w:w="830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Licht- und Luftschächte, Notausstiege,</w:t>
            </w:r>
          </w:p>
          <w:p w:rsidR="00847F1C" w:rsidRPr="00E05B7F" w:rsidRDefault="00847F1C" w:rsidP="007D27BA">
            <w:pPr>
              <w:pStyle w:val="KeinLeerraum"/>
              <w:rPr>
                <w:rFonts w:ascii="Arial" w:hAnsi="Arial" w:cs="Arial"/>
                <w:sz w:val="24"/>
                <w:szCs w:val="24"/>
              </w:rPr>
            </w:pPr>
          </w:p>
        </w:tc>
      </w:tr>
      <w:tr w:rsidR="00847F1C" w:rsidRPr="007D27BA"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4.3</w:t>
            </w:r>
          </w:p>
        </w:tc>
        <w:tc>
          <w:tcPr>
            <w:tcW w:w="830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Balkone und Vordächer bis zu einer Auskragung von 1 m, bewegliche Markisen, Gesimse,</w:t>
            </w:r>
          </w:p>
          <w:p w:rsidR="00847F1C" w:rsidRPr="00E05B7F" w:rsidRDefault="00847F1C" w:rsidP="007D27BA">
            <w:pPr>
              <w:pStyle w:val="KeinLeerraum"/>
              <w:rPr>
                <w:rFonts w:ascii="Arial" w:hAnsi="Arial" w:cs="Arial"/>
                <w:sz w:val="24"/>
                <w:szCs w:val="24"/>
              </w:rPr>
            </w:pPr>
          </w:p>
        </w:tc>
      </w:tr>
      <w:tr w:rsidR="00847F1C" w:rsidRPr="007D27BA" w:rsidTr="00847F1C">
        <w:trPr>
          <w:trHeight w:val="276"/>
        </w:trPr>
        <w:tc>
          <w:tcPr>
            <w:tcW w:w="751" w:type="dxa"/>
          </w:tcPr>
          <w:p w:rsidR="00847F1C" w:rsidRPr="00E05B7F" w:rsidRDefault="00847F1C" w:rsidP="007D27BA">
            <w:pPr>
              <w:pStyle w:val="KeinLeerraum"/>
              <w:rPr>
                <w:rFonts w:ascii="Arial" w:hAnsi="Arial" w:cs="Arial"/>
                <w:sz w:val="24"/>
                <w:szCs w:val="24"/>
              </w:rPr>
            </w:pPr>
            <w:r w:rsidRPr="00E05B7F">
              <w:rPr>
                <w:rFonts w:ascii="Arial" w:hAnsi="Arial" w:cs="Arial"/>
                <w:sz w:val="24"/>
                <w:szCs w:val="24"/>
              </w:rPr>
              <w:t>4.4</w:t>
            </w:r>
          </w:p>
        </w:tc>
        <w:tc>
          <w:tcPr>
            <w:tcW w:w="8301" w:type="dxa"/>
          </w:tcPr>
          <w:p w:rsidR="00847F1C" w:rsidRPr="00E05B7F" w:rsidRDefault="00847F1C" w:rsidP="00607113">
            <w:pPr>
              <w:pStyle w:val="KeinLeerraum"/>
              <w:rPr>
                <w:rFonts w:ascii="Arial" w:hAnsi="Arial" w:cs="Arial"/>
                <w:sz w:val="24"/>
                <w:szCs w:val="24"/>
              </w:rPr>
            </w:pPr>
            <w:r w:rsidRPr="00E05B7F">
              <w:rPr>
                <w:rFonts w:ascii="Arial" w:hAnsi="Arial" w:cs="Arial"/>
                <w:sz w:val="24"/>
                <w:szCs w:val="24"/>
              </w:rPr>
              <w:t>nachträgliche Anbringung von Wärmeschutz an Gebäuden und vorgesetzter Fassadenverkleidungen.</w:t>
            </w:r>
          </w:p>
          <w:p w:rsidR="00847F1C" w:rsidRPr="00E05B7F" w:rsidRDefault="00847F1C" w:rsidP="00607113">
            <w:pPr>
              <w:pStyle w:val="KeinLeerraum"/>
              <w:rPr>
                <w:rFonts w:ascii="Arial" w:hAnsi="Arial" w:cs="Arial"/>
                <w:sz w:val="24"/>
                <w:szCs w:val="24"/>
              </w:rPr>
            </w:pPr>
          </w:p>
        </w:tc>
      </w:tr>
    </w:tbl>
    <w:p w:rsidR="002A1EB0" w:rsidRPr="009B598D" w:rsidRDefault="002A1EB0" w:rsidP="002A1EB0">
      <w:pPr>
        <w:pStyle w:val="KeinLeerraum"/>
        <w:rPr>
          <w:rFonts w:ascii="Arial" w:hAnsi="Arial" w:cs="Arial"/>
          <w:sz w:val="24"/>
          <w:szCs w:val="24"/>
        </w:rPr>
      </w:pPr>
    </w:p>
    <w:sectPr w:rsidR="002A1EB0" w:rsidRPr="009B598D" w:rsidSect="00E71B81">
      <w:footerReference w:type="default" r:id="rId7"/>
      <w:pgSz w:w="11906" w:h="16838"/>
      <w:pgMar w:top="1135" w:right="1417" w:bottom="851" w:left="1417"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81" w:rsidRDefault="00887A81" w:rsidP="00B25D34">
      <w:r>
        <w:separator/>
      </w:r>
    </w:p>
  </w:endnote>
  <w:endnote w:type="continuationSeparator" w:id="0">
    <w:p w:rsidR="00887A81" w:rsidRDefault="00887A81" w:rsidP="00B25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bCs/>
      </w:rPr>
      <w:id w:val="13633741"/>
      <w:docPartObj>
        <w:docPartGallery w:val="Page Numbers (Bottom of Page)"/>
        <w:docPartUnique/>
      </w:docPartObj>
    </w:sdtPr>
    <w:sdtContent>
      <w:p w:rsidR="000C7D3B" w:rsidRDefault="000C7D3B" w:rsidP="00B25D34">
        <w:pPr>
          <w:pStyle w:val="Fuzeile"/>
          <w:jc w:val="center"/>
        </w:pPr>
        <w:r w:rsidRPr="00B25D34">
          <w:rPr>
            <w:rFonts w:cs="Arial"/>
            <w:bCs/>
            <w:sz w:val="18"/>
          </w:rPr>
          <w:t xml:space="preserve">Seite </w:t>
        </w:r>
        <w:r w:rsidR="00673FDB" w:rsidRPr="00B25D34">
          <w:rPr>
            <w:rFonts w:cs="Arial"/>
            <w:bCs/>
            <w:sz w:val="18"/>
          </w:rPr>
          <w:fldChar w:fldCharType="begin"/>
        </w:r>
        <w:r w:rsidRPr="00B25D34">
          <w:rPr>
            <w:rFonts w:cs="Arial"/>
            <w:bCs/>
            <w:sz w:val="18"/>
          </w:rPr>
          <w:instrText xml:space="preserve"> PAGE </w:instrText>
        </w:r>
        <w:r w:rsidR="00673FDB" w:rsidRPr="00B25D34">
          <w:rPr>
            <w:rFonts w:cs="Arial"/>
            <w:bCs/>
            <w:sz w:val="18"/>
          </w:rPr>
          <w:fldChar w:fldCharType="separate"/>
        </w:r>
        <w:r w:rsidR="00634552">
          <w:rPr>
            <w:rFonts w:cs="Arial"/>
            <w:bCs/>
            <w:noProof/>
            <w:sz w:val="18"/>
          </w:rPr>
          <w:t>2</w:t>
        </w:r>
        <w:r w:rsidR="00673FDB" w:rsidRPr="00B25D34">
          <w:rPr>
            <w:rFonts w:cs="Arial"/>
            <w:bCs/>
            <w:sz w:val="18"/>
          </w:rPr>
          <w:fldChar w:fldCharType="end"/>
        </w:r>
        <w:r w:rsidRPr="00B25D34">
          <w:rPr>
            <w:rFonts w:cs="Arial"/>
            <w:bCs/>
            <w:sz w:val="18"/>
          </w:rPr>
          <w:t xml:space="preserve"> von </w:t>
        </w:r>
        <w:r w:rsidR="00673FDB" w:rsidRPr="00B25D34">
          <w:rPr>
            <w:rFonts w:cs="Arial"/>
            <w:bCs/>
            <w:sz w:val="18"/>
          </w:rPr>
          <w:fldChar w:fldCharType="begin"/>
        </w:r>
        <w:r w:rsidRPr="00B25D34">
          <w:rPr>
            <w:rFonts w:cs="Arial"/>
            <w:bCs/>
            <w:sz w:val="18"/>
          </w:rPr>
          <w:instrText xml:space="preserve"> NUMPAGES </w:instrText>
        </w:r>
        <w:r w:rsidR="00673FDB" w:rsidRPr="00B25D34">
          <w:rPr>
            <w:rFonts w:cs="Arial"/>
            <w:bCs/>
            <w:sz w:val="18"/>
          </w:rPr>
          <w:fldChar w:fldCharType="separate"/>
        </w:r>
        <w:r w:rsidR="00634552">
          <w:rPr>
            <w:rFonts w:cs="Arial"/>
            <w:bCs/>
            <w:noProof/>
            <w:sz w:val="18"/>
          </w:rPr>
          <w:t>3</w:t>
        </w:r>
        <w:r w:rsidR="00673FDB" w:rsidRPr="00B25D34">
          <w:rPr>
            <w:rFonts w:cs="Arial"/>
            <w:bCs/>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81" w:rsidRDefault="00887A81" w:rsidP="00B25D34">
      <w:r>
        <w:separator/>
      </w:r>
    </w:p>
  </w:footnote>
  <w:footnote w:type="continuationSeparator" w:id="0">
    <w:p w:rsidR="00887A81" w:rsidRDefault="00887A81" w:rsidP="00B25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846"/>
    <w:multiLevelType w:val="hybridMultilevel"/>
    <w:tmpl w:val="326E1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B390CA0"/>
    <w:multiLevelType w:val="hybridMultilevel"/>
    <w:tmpl w:val="AB2C4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B598D"/>
    <w:rsid w:val="0000115D"/>
    <w:rsid w:val="00034E2A"/>
    <w:rsid w:val="00047599"/>
    <w:rsid w:val="000C6D04"/>
    <w:rsid w:val="000C7D3B"/>
    <w:rsid w:val="000D639C"/>
    <w:rsid w:val="00116868"/>
    <w:rsid w:val="0014461B"/>
    <w:rsid w:val="00200990"/>
    <w:rsid w:val="00274776"/>
    <w:rsid w:val="002869E0"/>
    <w:rsid w:val="0029594A"/>
    <w:rsid w:val="002A1EB0"/>
    <w:rsid w:val="002A4775"/>
    <w:rsid w:val="002C1458"/>
    <w:rsid w:val="002C3DE4"/>
    <w:rsid w:val="002D08BB"/>
    <w:rsid w:val="002D60F0"/>
    <w:rsid w:val="002E5B52"/>
    <w:rsid w:val="00302457"/>
    <w:rsid w:val="00336593"/>
    <w:rsid w:val="00347F32"/>
    <w:rsid w:val="00377E2F"/>
    <w:rsid w:val="00394975"/>
    <w:rsid w:val="003A6C64"/>
    <w:rsid w:val="003A7948"/>
    <w:rsid w:val="003B36EA"/>
    <w:rsid w:val="004260EF"/>
    <w:rsid w:val="004352CB"/>
    <w:rsid w:val="004A1AED"/>
    <w:rsid w:val="004C4934"/>
    <w:rsid w:val="004D2776"/>
    <w:rsid w:val="004E5C9F"/>
    <w:rsid w:val="004F07C8"/>
    <w:rsid w:val="00513096"/>
    <w:rsid w:val="00531C56"/>
    <w:rsid w:val="00544C77"/>
    <w:rsid w:val="0055025D"/>
    <w:rsid w:val="00554F9D"/>
    <w:rsid w:val="005B49F9"/>
    <w:rsid w:val="00607113"/>
    <w:rsid w:val="0061294E"/>
    <w:rsid w:val="00634552"/>
    <w:rsid w:val="00655636"/>
    <w:rsid w:val="00673FDB"/>
    <w:rsid w:val="006D752C"/>
    <w:rsid w:val="007144E8"/>
    <w:rsid w:val="00744424"/>
    <w:rsid w:val="0074748E"/>
    <w:rsid w:val="00755FEF"/>
    <w:rsid w:val="00782EB3"/>
    <w:rsid w:val="007B04B7"/>
    <w:rsid w:val="007B58AD"/>
    <w:rsid w:val="007D27BA"/>
    <w:rsid w:val="008044BD"/>
    <w:rsid w:val="00847F1C"/>
    <w:rsid w:val="008505A7"/>
    <w:rsid w:val="00864E72"/>
    <w:rsid w:val="0087255E"/>
    <w:rsid w:val="00887A81"/>
    <w:rsid w:val="00941B84"/>
    <w:rsid w:val="00950428"/>
    <w:rsid w:val="009704DA"/>
    <w:rsid w:val="009747CF"/>
    <w:rsid w:val="009B598D"/>
    <w:rsid w:val="009D71DC"/>
    <w:rsid w:val="00A078D2"/>
    <w:rsid w:val="00A534EE"/>
    <w:rsid w:val="00A56712"/>
    <w:rsid w:val="00A63E0B"/>
    <w:rsid w:val="00AB2B3B"/>
    <w:rsid w:val="00AF003F"/>
    <w:rsid w:val="00B012CD"/>
    <w:rsid w:val="00B1295C"/>
    <w:rsid w:val="00B25D34"/>
    <w:rsid w:val="00B26794"/>
    <w:rsid w:val="00B44F51"/>
    <w:rsid w:val="00B742E1"/>
    <w:rsid w:val="00BD6A1D"/>
    <w:rsid w:val="00C00203"/>
    <w:rsid w:val="00C1485E"/>
    <w:rsid w:val="00C259FD"/>
    <w:rsid w:val="00C314CC"/>
    <w:rsid w:val="00C41D2D"/>
    <w:rsid w:val="00C46884"/>
    <w:rsid w:val="00C6680C"/>
    <w:rsid w:val="00C80B7B"/>
    <w:rsid w:val="00C97C9E"/>
    <w:rsid w:val="00CB5897"/>
    <w:rsid w:val="00D021E8"/>
    <w:rsid w:val="00D1739E"/>
    <w:rsid w:val="00D62DF6"/>
    <w:rsid w:val="00DA22FA"/>
    <w:rsid w:val="00DD340B"/>
    <w:rsid w:val="00E05B7F"/>
    <w:rsid w:val="00E71B81"/>
    <w:rsid w:val="00E75949"/>
    <w:rsid w:val="00E801B6"/>
    <w:rsid w:val="00EE4B9D"/>
    <w:rsid w:val="00F6348A"/>
    <w:rsid w:val="00FA6E5C"/>
    <w:rsid w:val="00FC74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428"/>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598D"/>
    <w:pPr>
      <w:spacing w:after="0" w:line="240" w:lineRule="auto"/>
    </w:pPr>
  </w:style>
  <w:style w:type="table" w:styleId="Tabellengitternetz">
    <w:name w:val="Table Grid"/>
    <w:basedOn w:val="NormaleTabelle"/>
    <w:uiPriority w:val="59"/>
    <w:rsid w:val="002A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173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39E"/>
    <w:rPr>
      <w:rFonts w:ascii="Tahoma" w:eastAsia="Times New Roman" w:hAnsi="Tahoma" w:cs="Tahoma"/>
      <w:sz w:val="16"/>
      <w:szCs w:val="16"/>
    </w:rPr>
  </w:style>
  <w:style w:type="paragraph" w:styleId="Kopfzeile">
    <w:name w:val="header"/>
    <w:basedOn w:val="Standard"/>
    <w:link w:val="KopfzeileZchn"/>
    <w:uiPriority w:val="99"/>
    <w:semiHidden/>
    <w:unhideWhenUsed/>
    <w:rsid w:val="00B25D34"/>
    <w:pPr>
      <w:tabs>
        <w:tab w:val="center" w:pos="4536"/>
        <w:tab w:val="right" w:pos="9072"/>
      </w:tabs>
    </w:pPr>
  </w:style>
  <w:style w:type="character" w:customStyle="1" w:styleId="KopfzeileZchn">
    <w:name w:val="Kopfzeile Zchn"/>
    <w:basedOn w:val="Absatz-Standardschriftart"/>
    <w:link w:val="Kopfzeile"/>
    <w:uiPriority w:val="99"/>
    <w:semiHidden/>
    <w:rsid w:val="00B25D34"/>
    <w:rPr>
      <w:rFonts w:ascii="Arial" w:eastAsia="Times New Roman" w:hAnsi="Arial" w:cs="Times New Roman"/>
      <w:sz w:val="24"/>
      <w:szCs w:val="20"/>
    </w:rPr>
  </w:style>
  <w:style w:type="paragraph" w:styleId="Fuzeile">
    <w:name w:val="footer"/>
    <w:basedOn w:val="Standard"/>
    <w:link w:val="FuzeileZchn"/>
    <w:uiPriority w:val="99"/>
    <w:semiHidden/>
    <w:unhideWhenUsed/>
    <w:rsid w:val="00B25D34"/>
    <w:pPr>
      <w:tabs>
        <w:tab w:val="center" w:pos="4536"/>
        <w:tab w:val="right" w:pos="9072"/>
      </w:tabs>
    </w:pPr>
  </w:style>
  <w:style w:type="character" w:customStyle="1" w:styleId="FuzeileZchn">
    <w:name w:val="Fußzeile Zchn"/>
    <w:basedOn w:val="Absatz-Standardschriftart"/>
    <w:link w:val="Fuzeile"/>
    <w:uiPriority w:val="99"/>
    <w:semiHidden/>
    <w:rsid w:val="00B25D3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u660175</dc:creator>
  <cp:keywords/>
  <dc:description/>
  <cp:lastModifiedBy>u102021</cp:lastModifiedBy>
  <cp:revision>4</cp:revision>
  <cp:lastPrinted>2016-03-18T09:18:00Z</cp:lastPrinted>
  <dcterms:created xsi:type="dcterms:W3CDTF">2016-04-28T07:24:00Z</dcterms:created>
  <dcterms:modified xsi:type="dcterms:W3CDTF">2016-04-28T12:38:00Z</dcterms:modified>
</cp:coreProperties>
</file>