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9" w:rsidRPr="006E0575" w:rsidRDefault="003232C9" w:rsidP="003232C9">
      <w:pPr>
        <w:jc w:val="right"/>
      </w:pPr>
      <w:r w:rsidRPr="006E0575">
        <w:t xml:space="preserve">Anlage </w:t>
      </w:r>
      <w:r w:rsidR="00A27BAA">
        <w:t>9</w:t>
      </w:r>
      <w:r w:rsidRPr="006E0575">
        <w:t xml:space="preserve"> zur GRDrs</w:t>
      </w:r>
      <w:r w:rsidR="007F6F13">
        <w:t>.</w:t>
      </w:r>
      <w:r w:rsidRPr="006E0575">
        <w:t xml:space="preserve"> </w:t>
      </w:r>
      <w:r w:rsidR="007F6F13">
        <w:t>824</w:t>
      </w:r>
      <w:r>
        <w:t>/2023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D50D1D">
        <w:rPr>
          <w:b/>
          <w:sz w:val="36"/>
          <w:szCs w:val="36"/>
          <w:u w:val="single"/>
        </w:rPr>
        <w:t>4</w:t>
      </w:r>
    </w:p>
    <w:p w:rsidR="003D7B0B" w:rsidRDefault="003D7B0B" w:rsidP="006E0575">
      <w:pPr>
        <w:rPr>
          <w:u w:val="single"/>
        </w:rPr>
      </w:pPr>
    </w:p>
    <w:p w:rsidR="00DE362D" w:rsidRDefault="00DE362D" w:rsidP="006E0575">
      <w:pPr>
        <w:rPr>
          <w:u w:val="single"/>
        </w:rPr>
      </w:pPr>
    </w:p>
    <w:p w:rsidR="00AD6CAE" w:rsidRPr="00E42F96" w:rsidRDefault="00AD6CAE"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0349F5" w:rsidRDefault="000349F5" w:rsidP="000349F5">
            <w:pPr>
              <w:rPr>
                <w:sz w:val="20"/>
              </w:rPr>
            </w:pPr>
            <w:r>
              <w:rPr>
                <w:sz w:val="20"/>
              </w:rPr>
              <w:t>36-5.1</w:t>
            </w:r>
          </w:p>
          <w:p w:rsidR="0074039A" w:rsidRDefault="0074039A" w:rsidP="000349F5">
            <w:pPr>
              <w:rPr>
                <w:sz w:val="20"/>
              </w:rPr>
            </w:pPr>
          </w:p>
          <w:p w:rsidR="0074039A" w:rsidRDefault="0074039A" w:rsidP="000349F5">
            <w:pPr>
              <w:rPr>
                <w:sz w:val="20"/>
              </w:rPr>
            </w:pPr>
          </w:p>
          <w:p w:rsidR="0074039A" w:rsidRDefault="0074039A" w:rsidP="00D45895">
            <w:pPr>
              <w:rPr>
                <w:sz w:val="20"/>
              </w:rPr>
            </w:pPr>
            <w:r>
              <w:rPr>
                <w:sz w:val="20"/>
              </w:rPr>
              <w:t>3650</w:t>
            </w:r>
            <w:r w:rsidR="007F6F13">
              <w:rPr>
                <w:sz w:val="20"/>
              </w:rPr>
              <w:t xml:space="preserve"> </w:t>
            </w:r>
            <w:r>
              <w:rPr>
                <w:sz w:val="20"/>
              </w:rPr>
              <w:t>5100</w:t>
            </w:r>
          </w:p>
          <w:p w:rsidR="00D45895" w:rsidRPr="006E0575" w:rsidRDefault="00D45895" w:rsidP="00D45895">
            <w:pPr>
              <w:rPr>
                <w:sz w:val="20"/>
              </w:rPr>
            </w:pPr>
          </w:p>
        </w:tc>
        <w:tc>
          <w:tcPr>
            <w:tcW w:w="1701" w:type="dxa"/>
          </w:tcPr>
          <w:p w:rsidR="005F5B3D" w:rsidRDefault="005F5B3D" w:rsidP="0030686C">
            <w:pPr>
              <w:rPr>
                <w:sz w:val="20"/>
              </w:rPr>
            </w:pPr>
          </w:p>
          <w:p w:rsidR="005F5B3D" w:rsidRPr="006E0575" w:rsidRDefault="00870F06" w:rsidP="0030686C">
            <w:pPr>
              <w:rPr>
                <w:sz w:val="20"/>
              </w:rPr>
            </w:pPr>
            <w:r>
              <w:rPr>
                <w:sz w:val="20"/>
              </w:rPr>
              <w:t>Amt für Umweltschutz</w:t>
            </w:r>
          </w:p>
        </w:tc>
        <w:tc>
          <w:tcPr>
            <w:tcW w:w="851" w:type="dxa"/>
          </w:tcPr>
          <w:p w:rsidR="005F5B3D" w:rsidRDefault="005F5B3D" w:rsidP="0030686C">
            <w:pPr>
              <w:rPr>
                <w:sz w:val="20"/>
              </w:rPr>
            </w:pPr>
          </w:p>
          <w:p w:rsidR="005F5B3D" w:rsidRPr="006E0575" w:rsidRDefault="00F1707F" w:rsidP="0030686C">
            <w:pPr>
              <w:rPr>
                <w:sz w:val="20"/>
              </w:rPr>
            </w:pPr>
            <w:r>
              <w:rPr>
                <w:sz w:val="20"/>
              </w:rPr>
              <w:t>EG 13</w:t>
            </w:r>
          </w:p>
        </w:tc>
        <w:tc>
          <w:tcPr>
            <w:tcW w:w="1701" w:type="dxa"/>
          </w:tcPr>
          <w:p w:rsidR="005F5B3D" w:rsidRDefault="005F5B3D" w:rsidP="0030686C">
            <w:pPr>
              <w:rPr>
                <w:sz w:val="20"/>
              </w:rPr>
            </w:pPr>
          </w:p>
          <w:p w:rsidR="00D45895" w:rsidRPr="006E0575" w:rsidRDefault="00F1707F" w:rsidP="00D45895">
            <w:pPr>
              <w:rPr>
                <w:sz w:val="20"/>
              </w:rPr>
            </w:pPr>
            <w:r>
              <w:rPr>
                <w:sz w:val="20"/>
              </w:rPr>
              <w:t>Ingenieur</w:t>
            </w:r>
            <w:r w:rsidR="003232C9">
              <w:rPr>
                <w:sz w:val="20"/>
              </w:rPr>
              <w:t>/</w:t>
            </w:r>
            <w:r w:rsidR="00D45895">
              <w:rPr>
                <w:sz w:val="20"/>
              </w:rPr>
              <w:t>-</w:t>
            </w:r>
            <w:r w:rsidR="00870F06" w:rsidRPr="00CF6542">
              <w:rPr>
                <w:sz w:val="20"/>
              </w:rPr>
              <w:t>in</w:t>
            </w:r>
          </w:p>
        </w:tc>
        <w:tc>
          <w:tcPr>
            <w:tcW w:w="851" w:type="dxa"/>
            <w:shd w:val="pct12" w:color="auto" w:fill="FFFFFF"/>
          </w:tcPr>
          <w:p w:rsidR="005F5B3D" w:rsidRDefault="005F5B3D" w:rsidP="0030686C">
            <w:pPr>
              <w:rPr>
                <w:sz w:val="20"/>
              </w:rPr>
            </w:pPr>
          </w:p>
          <w:p w:rsidR="005F5B3D" w:rsidRDefault="0074039A" w:rsidP="00146DF3">
            <w:pPr>
              <w:jc w:val="center"/>
              <w:rPr>
                <w:sz w:val="20"/>
              </w:rPr>
            </w:pPr>
            <w:r>
              <w:rPr>
                <w:sz w:val="20"/>
              </w:rPr>
              <w:t>1,0</w:t>
            </w:r>
          </w:p>
          <w:p w:rsidR="0074039A" w:rsidRPr="006E0575" w:rsidRDefault="0074039A" w:rsidP="00D45895">
            <w:pPr>
              <w:rPr>
                <w:sz w:val="20"/>
              </w:rPr>
            </w:pPr>
          </w:p>
        </w:tc>
        <w:tc>
          <w:tcPr>
            <w:tcW w:w="1134" w:type="dxa"/>
          </w:tcPr>
          <w:p w:rsidR="005F5B3D" w:rsidRDefault="005F5B3D" w:rsidP="0030686C">
            <w:pPr>
              <w:rPr>
                <w:sz w:val="20"/>
              </w:rPr>
            </w:pPr>
          </w:p>
          <w:p w:rsidR="005F5B3D" w:rsidRPr="006E0575" w:rsidRDefault="0074039A" w:rsidP="0030686C">
            <w:pPr>
              <w:rPr>
                <w:sz w:val="20"/>
              </w:rPr>
            </w:pPr>
            <w:r>
              <w:rPr>
                <w:sz w:val="20"/>
              </w:rPr>
              <w:t>--</w:t>
            </w:r>
          </w:p>
        </w:tc>
        <w:tc>
          <w:tcPr>
            <w:tcW w:w="1588" w:type="dxa"/>
          </w:tcPr>
          <w:p w:rsidR="0074039A" w:rsidRDefault="0074039A" w:rsidP="0030686C">
            <w:pPr>
              <w:rPr>
                <w:sz w:val="20"/>
              </w:rPr>
            </w:pPr>
          </w:p>
          <w:p w:rsidR="007F6F13" w:rsidRPr="006E0575" w:rsidRDefault="00A27BAA" w:rsidP="0030686C">
            <w:pPr>
              <w:rPr>
                <w:sz w:val="20"/>
              </w:rPr>
            </w:pPr>
            <w:r>
              <w:rPr>
                <w:sz w:val="20"/>
              </w:rPr>
              <w:t>89.5</w:t>
            </w:r>
            <w:bookmarkStart w:id="0" w:name="_GoBack"/>
            <w:bookmarkEnd w:id="0"/>
            <w:r w:rsidR="007F6F13">
              <w:rPr>
                <w:sz w:val="20"/>
              </w:rPr>
              <w:t>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57D4D" w:rsidRDefault="00512F80" w:rsidP="00357D4D">
      <w:pPr>
        <w:pStyle w:val="Textkrper-Einzug2"/>
        <w:ind w:left="0" w:firstLine="0"/>
        <w:jc w:val="left"/>
        <w:rPr>
          <w:noProof/>
        </w:rPr>
      </w:pPr>
      <w:r w:rsidRPr="00512F80">
        <w:rPr>
          <w:noProof/>
        </w:rPr>
        <w:t xml:space="preserve">Beantragt </w:t>
      </w:r>
      <w:r w:rsidR="005B362B">
        <w:rPr>
          <w:noProof/>
        </w:rPr>
        <w:t xml:space="preserve">wird die Schaffung </w:t>
      </w:r>
      <w:r w:rsidR="007F6F13">
        <w:rPr>
          <w:noProof/>
        </w:rPr>
        <w:t>von</w:t>
      </w:r>
      <w:r w:rsidR="005B362B">
        <w:rPr>
          <w:noProof/>
        </w:rPr>
        <w:t xml:space="preserve"> 1,0 Stelle in</w:t>
      </w:r>
      <w:r w:rsidR="003C342A">
        <w:rPr>
          <w:noProof/>
        </w:rPr>
        <w:t xml:space="preserve"> EG 13</w:t>
      </w:r>
      <w:r w:rsidR="005B362B">
        <w:rPr>
          <w:noProof/>
        </w:rPr>
        <w:t xml:space="preserve"> </w:t>
      </w:r>
      <w:r w:rsidRPr="00512F80">
        <w:rPr>
          <w:noProof/>
        </w:rPr>
        <w:t>für den Bereich Energie</w:t>
      </w:r>
      <w:r w:rsidR="005B362B">
        <w:rPr>
          <w:noProof/>
        </w:rPr>
        <w:t>-</w:t>
      </w:r>
      <w:r w:rsidR="00F1707F">
        <w:rPr>
          <w:noProof/>
        </w:rPr>
        <w:t>versorgungssicherheit</w:t>
      </w:r>
      <w:r w:rsidR="005845B5">
        <w:rPr>
          <w:noProof/>
        </w:rPr>
        <w:t xml:space="preserve"> und -einparung</w:t>
      </w:r>
      <w:r w:rsidRPr="00512F80">
        <w:rPr>
          <w:noProof/>
        </w:rPr>
        <w:t xml:space="preserve"> </w:t>
      </w:r>
      <w:r w:rsidR="003C342A">
        <w:rPr>
          <w:noProof/>
        </w:rPr>
        <w:t>bei</w:t>
      </w:r>
      <w:r w:rsidR="00FF12F7">
        <w:rPr>
          <w:noProof/>
        </w:rPr>
        <w:t xml:space="preserve"> </w:t>
      </w:r>
      <w:r w:rsidRPr="00512F80">
        <w:rPr>
          <w:noProof/>
        </w:rPr>
        <w:t>der Abteilung Energiewirt</w:t>
      </w:r>
      <w:r w:rsidR="00F1707F">
        <w:rPr>
          <w:noProof/>
        </w:rPr>
        <w:t>schaft im Amt für Umweltschutz.</w:t>
      </w:r>
    </w:p>
    <w:p w:rsidR="003D7B0B" w:rsidRDefault="003D7B0B" w:rsidP="00884D6C">
      <w:pPr>
        <w:pStyle w:val="berschrift1"/>
      </w:pPr>
      <w:r>
        <w:t>2</w:t>
      </w:r>
      <w:r>
        <w:tab/>
        <w:t>Schaffun</w:t>
      </w:r>
      <w:r w:rsidRPr="00884D6C">
        <w:rPr>
          <w:u w:val="none"/>
        </w:rPr>
        <w:t>g</w:t>
      </w:r>
      <w:r>
        <w:t>skriterien</w:t>
      </w:r>
    </w:p>
    <w:p w:rsidR="00146DF3" w:rsidRDefault="00146DF3" w:rsidP="00884D6C"/>
    <w:p w:rsidR="003D7B0B" w:rsidRPr="00D964A6" w:rsidRDefault="00146DF3" w:rsidP="00884D6C">
      <w:r>
        <w:t xml:space="preserve">Neue gesetzliche Regelungen, </w:t>
      </w:r>
      <w:r w:rsidR="005845B5">
        <w:t>ein</w:t>
      </w:r>
      <w:r>
        <w:t xml:space="preserve"> neu geschaffene</w:t>
      </w:r>
      <w:r w:rsidR="005845B5">
        <w:t>r</w:t>
      </w:r>
      <w:r>
        <w:t xml:space="preserve"> Koordinierungsstab sowie </w:t>
      </w:r>
      <w:r w:rsidR="005845B5">
        <w:t>Großschadensereignis-</w:t>
      </w:r>
      <w:r>
        <w:t>Module</w:t>
      </w:r>
      <w:r w:rsidR="005845B5">
        <w:t xml:space="preserve"> in den</w:t>
      </w:r>
      <w:r>
        <w:t xml:space="preserve"> Bereich</w:t>
      </w:r>
      <w:r w:rsidR="005845B5">
        <w:t>en</w:t>
      </w:r>
      <w:r>
        <w:t xml:space="preserve"> </w:t>
      </w:r>
      <w:r w:rsidR="005845B5">
        <w:t>Energieversorgungssicherheit und Energieeinsparung führen</w:t>
      </w:r>
      <w:r w:rsidR="009757D3" w:rsidRPr="00D964A6">
        <w:t xml:space="preserve"> bei der Abteilung Energiewirtschaft zu einem Mehraufwand, der nicht vom vorhandenen Personal aufgefangen werden kann. </w:t>
      </w:r>
    </w:p>
    <w:p w:rsidR="003D7B0B" w:rsidRDefault="003D7B0B" w:rsidP="00884D6C">
      <w:pPr>
        <w:pStyle w:val="berschrift1"/>
      </w:pPr>
      <w:r>
        <w:t>3</w:t>
      </w:r>
      <w:r>
        <w:tab/>
        <w:t>Bedarf</w:t>
      </w:r>
    </w:p>
    <w:p w:rsidR="003D7B0B" w:rsidRDefault="00884D6C" w:rsidP="00884D6C">
      <w:pPr>
        <w:pStyle w:val="berschrift2"/>
      </w:pPr>
      <w:r w:rsidRPr="00884D6C">
        <w:t>3.1</w:t>
      </w:r>
      <w:r w:rsidRPr="00884D6C">
        <w:tab/>
      </w:r>
      <w:r w:rsidR="006E0575" w:rsidRPr="00884D6C">
        <w:t>Anlass</w:t>
      </w:r>
    </w:p>
    <w:p w:rsidR="00630A33" w:rsidRPr="00630A33" w:rsidRDefault="00630A33" w:rsidP="00630A33"/>
    <w:p w:rsidR="00835ECF" w:rsidRDefault="00F1707F" w:rsidP="00870F06">
      <w:r w:rsidRPr="00F1707F">
        <w:t xml:space="preserve">In Folge des russischen Angriffskriegs auf die Ukraine und den Wegfall russischer Gaslieferungen sind tiefgreifende Veränderungen der Energieversorgungssituation zu bewältigen. </w:t>
      </w:r>
      <w:r w:rsidR="00835ECF" w:rsidRPr="00F1707F">
        <w:t>Dies führt zu Mehraufwand und zusätzlichen Aufgaben</w:t>
      </w:r>
      <w:r w:rsidR="00835ECF">
        <w:t xml:space="preserve"> in der Abteilung Energiewirtschaft</w:t>
      </w:r>
      <w:r w:rsidR="00835ECF" w:rsidRPr="00F1707F">
        <w:t>.</w:t>
      </w:r>
      <w:r w:rsidR="005B362B">
        <w:t xml:space="preserve"> </w:t>
      </w:r>
      <w:r w:rsidR="00AB443C">
        <w:t xml:space="preserve">Zum einen haben sich die Energieträgerpreise drastisch erhöht. </w:t>
      </w:r>
      <w:r w:rsidR="00BE6CA4">
        <w:t xml:space="preserve">Zum anderen </w:t>
      </w:r>
      <w:r w:rsidR="00B953B0">
        <w:t xml:space="preserve">hat sich die Versorgungssicherheit, insbesondere im Gasbereich, erheblich verschlechtert. </w:t>
      </w:r>
      <w:r w:rsidR="00835ECF">
        <w:t>Der Eintritt einer</w:t>
      </w:r>
      <w:r w:rsidR="00B953B0">
        <w:t xml:space="preserve"> nationale</w:t>
      </w:r>
      <w:r w:rsidR="00835ECF">
        <w:t>n</w:t>
      </w:r>
      <w:r w:rsidR="00B953B0">
        <w:t xml:space="preserve"> Gasmangelsituation </w:t>
      </w:r>
      <w:r w:rsidR="00835ECF">
        <w:t>ist mit einer hohen W</w:t>
      </w:r>
      <w:r w:rsidR="00B953B0">
        <w:t xml:space="preserve">ahrscheinlichkeit </w:t>
      </w:r>
      <w:r w:rsidR="00835ECF">
        <w:t>zu bewerten. Infolgedessen sind neue Katastrophenschutzszenarien</w:t>
      </w:r>
    </w:p>
    <w:p w:rsidR="00835ECF" w:rsidRDefault="00835ECF" w:rsidP="00870F06">
      <w:r>
        <w:t>zu bewerten und vorzubereiten. Die gestörte Versorgungslage wird längerfristig anhalten.</w:t>
      </w:r>
    </w:p>
    <w:p w:rsidR="00835ECF" w:rsidRDefault="00835ECF" w:rsidP="00870F06"/>
    <w:p w:rsidR="00123E68" w:rsidRDefault="00123E68" w:rsidP="00870F06">
      <w:r>
        <w:lastRenderedPageBreak/>
        <w:t xml:space="preserve">Aus den vorgenannten Gründen kommt dem Thema Energieeinsparungen nicht nur in der aktuellen Krisensituation, sondern auch langfristig </w:t>
      </w:r>
      <w:r w:rsidR="00835ECF">
        <w:t xml:space="preserve">zur Kostensenkung und Krisenprävention </w:t>
      </w:r>
      <w:r>
        <w:t xml:space="preserve">eine wesentliche Bedeutung zu. Das von der EU-Kommission und der Bundesregierung geforderte Ziel einer Reduktion des Energieverbrauchs um 20 % konnte innerhalb der Stadtverwaltung deutlich nicht erreicht werden. </w:t>
      </w:r>
      <w:r w:rsidR="00BE6CA4">
        <w:t xml:space="preserve">Obwohl ein entsprechendes Einsparpotenzial vorhanden ist, konnten bislang nur Maßnahmen mit einer Verbrauchssenkung unter 5 % umgesetzt werden. </w:t>
      </w:r>
      <w:r>
        <w:t xml:space="preserve">Es zeigte sich, dass </w:t>
      </w:r>
      <w:r w:rsidR="0071249E">
        <w:t>eine sehr differenzierte</w:t>
      </w:r>
      <w:r w:rsidR="0028284B">
        <w:t xml:space="preserve">, detaillierte und genau mit den </w:t>
      </w:r>
      <w:r w:rsidR="00835ECF">
        <w:t xml:space="preserve">verschiedenen Bereichen </w:t>
      </w:r>
      <w:r w:rsidR="0028284B">
        <w:t>abgestimmte</w:t>
      </w:r>
      <w:r w:rsidR="0071249E">
        <w:t xml:space="preserve"> Vorgehensweise </w:t>
      </w:r>
      <w:r w:rsidR="0028284B">
        <w:t>notwendig ist, um Einsparungen zu realisieren</w:t>
      </w:r>
      <w:r w:rsidR="00835ECF">
        <w:t xml:space="preserve"> und die Akzeptanz dafür zu schaffen. </w:t>
      </w:r>
      <w:r w:rsidR="00115368">
        <w:t>Um das gesamtstädtische Einsparpotenzial zu realisieren, ist eine Sensibilisierung der verschiedenen Nutzergruppen erforderlich.</w:t>
      </w:r>
    </w:p>
    <w:p w:rsidR="00123E68" w:rsidRDefault="00123E68" w:rsidP="00870F06"/>
    <w:p w:rsidR="006C2B01" w:rsidRDefault="00115368" w:rsidP="00870F06">
      <w:r>
        <w:t xml:space="preserve">Die Notwendigkeit von Energieeinsparungen hat der Bundesgesetzgeber erkannt und </w:t>
      </w:r>
    </w:p>
    <w:p w:rsidR="00123E68" w:rsidRDefault="00115368" w:rsidP="00870F06">
      <w:r>
        <w:t>u.</w:t>
      </w:r>
      <w:r w:rsidR="006C2B01">
        <w:t xml:space="preserve"> </w:t>
      </w:r>
      <w:r>
        <w:t xml:space="preserve">a. </w:t>
      </w:r>
      <w:r w:rsidRPr="00F1707F">
        <w:t xml:space="preserve">Verordnungen zu Kurz-, Mittel- und Langfristmaßnahmen </w:t>
      </w:r>
      <w:r>
        <w:t>im Rahmen des Energiesicherungsgesetzes beschlossen. Die Regelungen betreffen die LHS</w:t>
      </w:r>
      <w:r w:rsidR="002143EC">
        <w:t xml:space="preserve"> sowohl mit ihrem eigenen Energieverbrauch als auch mit Blick auf die Umsetzungsüberwachung bei Dritten. Der Abteilung Energiewirtschaft kommt für die Umsetzung der Regelungen eine zentrale Bedeutung innerhalb der Stadtverwaltung zu.</w:t>
      </w:r>
    </w:p>
    <w:p w:rsidR="00123E68" w:rsidRDefault="00123E68" w:rsidP="00870F06"/>
    <w:p w:rsidR="005845B5" w:rsidRDefault="002143EC" w:rsidP="00870F06">
      <w:r>
        <w:t>Im Zuge der Energiekrise wurde ein Koordinierungsstab</w:t>
      </w:r>
      <w:r w:rsidRPr="00F1707F">
        <w:t xml:space="preserve"> Energieversorgungssicherheit</w:t>
      </w:r>
      <w:r>
        <w:t xml:space="preserve"> </w:t>
      </w:r>
      <w:r w:rsidR="00AD3447">
        <w:t xml:space="preserve">mit Federführung bei Referat SWU/Abteilung Energiewirtschaft </w:t>
      </w:r>
      <w:r>
        <w:t xml:space="preserve">ins Leben gerufen. Dieser ist </w:t>
      </w:r>
      <w:r w:rsidR="00F1707F" w:rsidRPr="00F1707F">
        <w:t>referatsübergreifend vorzubereiten und umzusetzen. Dies betrifft zum einen über das gesetzlich geforderte Maß hinausgehende Energiesparmaßnahmen zur Krisenprävention und zum anderen Maßnahmen zur Vorbereitun</w:t>
      </w:r>
      <w:r w:rsidR="005845B5">
        <w:t>g auf mögliche Krisenszenarien.</w:t>
      </w:r>
    </w:p>
    <w:p w:rsidR="005845B5" w:rsidRDefault="005845B5" w:rsidP="00870F06"/>
    <w:p w:rsidR="00870F06" w:rsidRDefault="002143EC" w:rsidP="00870F06">
      <w:r>
        <w:t>Zudem</w:t>
      </w:r>
      <w:r w:rsidR="00F1707F" w:rsidRPr="00F1707F">
        <w:t xml:space="preserve"> ist eine permanente Fortschreibung der Großschadensereignis(GSE)-Module Aufrechterhaltung Infrastruktur Gas, Strom und Fernwärme in enger Zusammenarbeit mit der unteren Katastrophenschutzbehörde erforderlich, da sich die Eintrittswahrscheinlichkeiten der Schadensereignisse im Energiebereich drastisch erhöht haben und die dynamische Situation eine permanente Fortschr</w:t>
      </w:r>
      <w:r w:rsidR="00BD5915">
        <w:t>eibung erfordert.</w:t>
      </w:r>
    </w:p>
    <w:p w:rsidR="00BD5915" w:rsidRDefault="00BD5915" w:rsidP="00870F06"/>
    <w:p w:rsidR="003D7B0B" w:rsidRPr="00165C0D" w:rsidRDefault="003D7B0B" w:rsidP="00165C0D">
      <w:pPr>
        <w:pStyle w:val="berschrift2"/>
      </w:pPr>
      <w:r w:rsidRPr="00165C0D">
        <w:t>3.2</w:t>
      </w:r>
      <w:r w:rsidRPr="00165C0D">
        <w:tab/>
        <w:t>Bisherige Aufgabenwahrnehmung</w:t>
      </w:r>
    </w:p>
    <w:p w:rsidR="003D7B0B" w:rsidRDefault="003D7B0B" w:rsidP="00884D6C"/>
    <w:p w:rsidR="003D7B0B" w:rsidRDefault="005B362B" w:rsidP="00884D6C">
      <w:r>
        <w:t>Die aktuelle Stellenausstattung ist nicht ausreichend, um die anfallenden Aufgaben zu bewältigen.</w:t>
      </w:r>
    </w:p>
    <w:p w:rsidR="003D7B0B" w:rsidRDefault="006E0575" w:rsidP="00884D6C">
      <w:pPr>
        <w:pStyle w:val="berschrift2"/>
      </w:pPr>
      <w:r>
        <w:t>3.3</w:t>
      </w:r>
      <w:r w:rsidR="003D7B0B">
        <w:tab/>
        <w:t>Auswirkungen bei Ablehnung der Stellenschaffungen</w:t>
      </w:r>
    </w:p>
    <w:p w:rsidR="003D7B0B" w:rsidRDefault="003D7B0B" w:rsidP="00884D6C"/>
    <w:p w:rsidR="003D7B0B" w:rsidRPr="003C6CC3" w:rsidRDefault="009C1B7C" w:rsidP="007558C8">
      <w:pPr>
        <w:tabs>
          <w:tab w:val="left" w:pos="4678"/>
          <w:tab w:val="left" w:pos="5954"/>
        </w:tabs>
        <w:jc w:val="both"/>
      </w:pPr>
      <w:r>
        <w:rPr>
          <w:rFonts w:cs="Arial"/>
        </w:rPr>
        <w:t>Im Fall einer Ablehnung entsteht das Risiko einer unzureichenden Prävention und Vorbereitung möglicher Großschadensereignisse</w:t>
      </w:r>
      <w:r w:rsidR="006847E7">
        <w:rPr>
          <w:rFonts w:cs="Arial"/>
        </w:rPr>
        <w:t xml:space="preserve"> im Bereich der Energieinfrastruktur, der ungenügenden Umsetzung gesetzlicher Vorgaben sowie der Verursachung finanzieller Nachteile in Millionenhöhe, da vorhandene hohe Potenziale zur Energieeinsparung nicht umgesetzt werden.</w:t>
      </w:r>
    </w:p>
    <w:p w:rsidR="003D7B0B" w:rsidRDefault="00884D6C" w:rsidP="00884D6C">
      <w:pPr>
        <w:pStyle w:val="berschrift1"/>
      </w:pPr>
      <w:r>
        <w:t>4</w:t>
      </w:r>
      <w:r>
        <w:tab/>
      </w:r>
      <w:r w:rsidR="003D7B0B">
        <w:t>Stellenvermerke</w:t>
      </w:r>
    </w:p>
    <w:p w:rsidR="003D7B0B" w:rsidRDefault="003D7B0B" w:rsidP="00884D6C"/>
    <w:p w:rsidR="00DE362D" w:rsidRDefault="006C2B01" w:rsidP="00884D6C">
      <w:r>
        <w:t>Keine</w:t>
      </w:r>
    </w:p>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01" w:rsidRDefault="00781D01">
      <w:r>
        <w:separator/>
      </w:r>
    </w:p>
  </w:endnote>
  <w:endnote w:type="continuationSeparator" w:id="0">
    <w:p w:rsidR="00781D01" w:rsidRDefault="0078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01" w:rsidRDefault="00781D01">
      <w:r>
        <w:separator/>
      </w:r>
    </w:p>
  </w:footnote>
  <w:footnote w:type="continuationSeparator" w:id="0">
    <w:p w:rsidR="00781D01" w:rsidRDefault="0078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A27BAA">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DD5A05"/>
    <w:multiLevelType w:val="hybridMultilevel"/>
    <w:tmpl w:val="F43079E2"/>
    <w:lvl w:ilvl="0" w:tplc="AAC48E3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7F703947"/>
    <w:multiLevelType w:val="hybridMultilevel"/>
    <w:tmpl w:val="2C96FFA2"/>
    <w:lvl w:ilvl="0" w:tplc="4FF02A40">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01"/>
    <w:rsid w:val="00026253"/>
    <w:rsid w:val="000349F5"/>
    <w:rsid w:val="00043B43"/>
    <w:rsid w:val="0005529E"/>
    <w:rsid w:val="00055758"/>
    <w:rsid w:val="00061F0B"/>
    <w:rsid w:val="000A1146"/>
    <w:rsid w:val="000A7509"/>
    <w:rsid w:val="000C69D6"/>
    <w:rsid w:val="001034AF"/>
    <w:rsid w:val="0011112B"/>
    <w:rsid w:val="00115368"/>
    <w:rsid w:val="00123E68"/>
    <w:rsid w:val="00132AF3"/>
    <w:rsid w:val="0014415D"/>
    <w:rsid w:val="00146DF3"/>
    <w:rsid w:val="00151488"/>
    <w:rsid w:val="001570CD"/>
    <w:rsid w:val="00163034"/>
    <w:rsid w:val="00164678"/>
    <w:rsid w:val="00165C0D"/>
    <w:rsid w:val="00181857"/>
    <w:rsid w:val="00184EDC"/>
    <w:rsid w:val="00194770"/>
    <w:rsid w:val="001A5F9B"/>
    <w:rsid w:val="001F7237"/>
    <w:rsid w:val="002143EC"/>
    <w:rsid w:val="0028284B"/>
    <w:rsid w:val="002924CB"/>
    <w:rsid w:val="002A20D1"/>
    <w:rsid w:val="002A4DE3"/>
    <w:rsid w:val="002B5955"/>
    <w:rsid w:val="0030686C"/>
    <w:rsid w:val="003154D2"/>
    <w:rsid w:val="003232C9"/>
    <w:rsid w:val="00324E1A"/>
    <w:rsid w:val="003343A8"/>
    <w:rsid w:val="00357D4D"/>
    <w:rsid w:val="00360CB3"/>
    <w:rsid w:val="00380937"/>
    <w:rsid w:val="00395F3B"/>
    <w:rsid w:val="00397717"/>
    <w:rsid w:val="003C342A"/>
    <w:rsid w:val="003C6CC3"/>
    <w:rsid w:val="003D7B0B"/>
    <w:rsid w:val="003E0F4B"/>
    <w:rsid w:val="003F0FAA"/>
    <w:rsid w:val="003F3462"/>
    <w:rsid w:val="00442CC1"/>
    <w:rsid w:val="004635EE"/>
    <w:rsid w:val="00470135"/>
    <w:rsid w:val="00471862"/>
    <w:rsid w:val="0047606A"/>
    <w:rsid w:val="004908B5"/>
    <w:rsid w:val="0049121B"/>
    <w:rsid w:val="004A1688"/>
    <w:rsid w:val="004A2C4E"/>
    <w:rsid w:val="004B6796"/>
    <w:rsid w:val="004B68D8"/>
    <w:rsid w:val="004D232A"/>
    <w:rsid w:val="00512F80"/>
    <w:rsid w:val="005845B5"/>
    <w:rsid w:val="005A03AD"/>
    <w:rsid w:val="005A0A9D"/>
    <w:rsid w:val="005A1661"/>
    <w:rsid w:val="005A2C97"/>
    <w:rsid w:val="005A56AA"/>
    <w:rsid w:val="005B20CB"/>
    <w:rsid w:val="005B362B"/>
    <w:rsid w:val="005E19C6"/>
    <w:rsid w:val="005F04C9"/>
    <w:rsid w:val="005F07F2"/>
    <w:rsid w:val="005F4A00"/>
    <w:rsid w:val="005F5B3D"/>
    <w:rsid w:val="00606F80"/>
    <w:rsid w:val="00622CC7"/>
    <w:rsid w:val="00622D12"/>
    <w:rsid w:val="00625E3B"/>
    <w:rsid w:val="00630A33"/>
    <w:rsid w:val="00657B16"/>
    <w:rsid w:val="006847E7"/>
    <w:rsid w:val="006A406B"/>
    <w:rsid w:val="006A4C04"/>
    <w:rsid w:val="006A7EA9"/>
    <w:rsid w:val="006B6D50"/>
    <w:rsid w:val="006B6D57"/>
    <w:rsid w:val="006C2B01"/>
    <w:rsid w:val="006C5C40"/>
    <w:rsid w:val="006C798C"/>
    <w:rsid w:val="006E0575"/>
    <w:rsid w:val="0071249E"/>
    <w:rsid w:val="00716002"/>
    <w:rsid w:val="007256DF"/>
    <w:rsid w:val="007270A2"/>
    <w:rsid w:val="0072799A"/>
    <w:rsid w:val="007312B5"/>
    <w:rsid w:val="0074039A"/>
    <w:rsid w:val="0074779C"/>
    <w:rsid w:val="00754659"/>
    <w:rsid w:val="007558C8"/>
    <w:rsid w:val="00756470"/>
    <w:rsid w:val="00781D01"/>
    <w:rsid w:val="00795B9A"/>
    <w:rsid w:val="00797525"/>
    <w:rsid w:val="007D13C1"/>
    <w:rsid w:val="007E3B79"/>
    <w:rsid w:val="007E43A8"/>
    <w:rsid w:val="007F64D1"/>
    <w:rsid w:val="007F6F13"/>
    <w:rsid w:val="008066EE"/>
    <w:rsid w:val="00817BB6"/>
    <w:rsid w:val="0082208E"/>
    <w:rsid w:val="00835ECF"/>
    <w:rsid w:val="0085624E"/>
    <w:rsid w:val="00862FB5"/>
    <w:rsid w:val="008644F2"/>
    <w:rsid w:val="00870D3F"/>
    <w:rsid w:val="00870F06"/>
    <w:rsid w:val="00881320"/>
    <w:rsid w:val="00884D6C"/>
    <w:rsid w:val="008B1A7F"/>
    <w:rsid w:val="008E3EBE"/>
    <w:rsid w:val="00920F00"/>
    <w:rsid w:val="009373F6"/>
    <w:rsid w:val="00941F84"/>
    <w:rsid w:val="00946276"/>
    <w:rsid w:val="009516E9"/>
    <w:rsid w:val="0096038F"/>
    <w:rsid w:val="009757D3"/>
    <w:rsid w:val="00976588"/>
    <w:rsid w:val="009804FF"/>
    <w:rsid w:val="009C1B7C"/>
    <w:rsid w:val="009C5422"/>
    <w:rsid w:val="00A27BAA"/>
    <w:rsid w:val="00A27CA7"/>
    <w:rsid w:val="00A45B30"/>
    <w:rsid w:val="00A47B25"/>
    <w:rsid w:val="00A672ED"/>
    <w:rsid w:val="00A71D0A"/>
    <w:rsid w:val="00A77F1E"/>
    <w:rsid w:val="00A847C4"/>
    <w:rsid w:val="00A93B2D"/>
    <w:rsid w:val="00AB389D"/>
    <w:rsid w:val="00AB443C"/>
    <w:rsid w:val="00AB7821"/>
    <w:rsid w:val="00AD3447"/>
    <w:rsid w:val="00AD6CAE"/>
    <w:rsid w:val="00AE7B02"/>
    <w:rsid w:val="00AF0DEA"/>
    <w:rsid w:val="00AF25E0"/>
    <w:rsid w:val="00B04290"/>
    <w:rsid w:val="00B22FD8"/>
    <w:rsid w:val="00B4726F"/>
    <w:rsid w:val="00B73582"/>
    <w:rsid w:val="00B80DEF"/>
    <w:rsid w:val="00B86BB5"/>
    <w:rsid w:val="00B91903"/>
    <w:rsid w:val="00B953B0"/>
    <w:rsid w:val="00BA759B"/>
    <w:rsid w:val="00BC4669"/>
    <w:rsid w:val="00BD5915"/>
    <w:rsid w:val="00BE6CA4"/>
    <w:rsid w:val="00C16EF1"/>
    <w:rsid w:val="00C2170E"/>
    <w:rsid w:val="00C448D3"/>
    <w:rsid w:val="00C50626"/>
    <w:rsid w:val="00C55414"/>
    <w:rsid w:val="00CD3AE5"/>
    <w:rsid w:val="00CF62E5"/>
    <w:rsid w:val="00CF753B"/>
    <w:rsid w:val="00D203DB"/>
    <w:rsid w:val="00D26A1C"/>
    <w:rsid w:val="00D45895"/>
    <w:rsid w:val="00D50D1D"/>
    <w:rsid w:val="00D66D3A"/>
    <w:rsid w:val="00D743D4"/>
    <w:rsid w:val="00D85870"/>
    <w:rsid w:val="00D91EC2"/>
    <w:rsid w:val="00D964A6"/>
    <w:rsid w:val="00DB3D6C"/>
    <w:rsid w:val="00DD433C"/>
    <w:rsid w:val="00DE362D"/>
    <w:rsid w:val="00E014B6"/>
    <w:rsid w:val="00E10CB1"/>
    <w:rsid w:val="00E1162F"/>
    <w:rsid w:val="00E11D5F"/>
    <w:rsid w:val="00E20E1F"/>
    <w:rsid w:val="00E42F96"/>
    <w:rsid w:val="00E5675A"/>
    <w:rsid w:val="00E7118F"/>
    <w:rsid w:val="00E936EB"/>
    <w:rsid w:val="00ED680A"/>
    <w:rsid w:val="00ED7774"/>
    <w:rsid w:val="00EE4D07"/>
    <w:rsid w:val="00F00CEE"/>
    <w:rsid w:val="00F1707F"/>
    <w:rsid w:val="00F27657"/>
    <w:rsid w:val="00F342DC"/>
    <w:rsid w:val="00F56F93"/>
    <w:rsid w:val="00F63041"/>
    <w:rsid w:val="00F76452"/>
    <w:rsid w:val="00F81C31"/>
    <w:rsid w:val="00FA4E16"/>
    <w:rsid w:val="00FD6B46"/>
    <w:rsid w:val="00FE0527"/>
    <w:rsid w:val="00FF1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2E33E"/>
  <w15:docId w15:val="{FF9C3054-2E11-4F69-87D8-0FA35482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Textkrper-Einzug2">
    <w:name w:val="Body Text Indent 2"/>
    <w:basedOn w:val="Standard"/>
    <w:link w:val="Textkrper-Einzug2Zchn"/>
    <w:rsid w:val="00357D4D"/>
    <w:pPr>
      <w:tabs>
        <w:tab w:val="left" w:pos="1985"/>
        <w:tab w:val="left" w:pos="4536"/>
        <w:tab w:val="right" w:pos="8505"/>
      </w:tabs>
      <w:ind w:left="357" w:hanging="357"/>
      <w:jc w:val="both"/>
    </w:pPr>
    <w:rPr>
      <w:szCs w:val="20"/>
    </w:rPr>
  </w:style>
  <w:style w:type="character" w:customStyle="1" w:styleId="Textkrper-Einzug2Zchn">
    <w:name w:val="Textkörper-Einzug 2 Zchn"/>
    <w:basedOn w:val="Absatz-Standardschriftart"/>
    <w:link w:val="Textkrper-Einzug2"/>
    <w:rsid w:val="00357D4D"/>
    <w:rPr>
      <w:szCs w:val="20"/>
    </w:rPr>
  </w:style>
  <w:style w:type="paragraph" w:customStyle="1" w:styleId="Default">
    <w:name w:val="Default"/>
    <w:rsid w:val="00870F06"/>
    <w:pPr>
      <w:autoSpaceDE w:val="0"/>
      <w:autoSpaceDN w:val="0"/>
      <w:adjustRightInd w:val="0"/>
    </w:pPr>
    <w:rPr>
      <w:rFonts w:ascii="Calibri" w:eastAsiaTheme="minorHAnsi" w:hAnsi="Calibri" w:cs="Calibri"/>
      <w:color w:val="000000"/>
      <w:lang w:eastAsia="en-US"/>
    </w:rPr>
  </w:style>
  <w:style w:type="table" w:styleId="Gitternetztabelle2">
    <w:name w:val="Grid Table 2"/>
    <w:basedOn w:val="NormaleTabelle"/>
    <w:uiPriority w:val="47"/>
    <w:rsid w:val="00870F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rechblasentext">
    <w:name w:val="Balloon Text"/>
    <w:basedOn w:val="Standard"/>
    <w:link w:val="SprechblasentextZchn"/>
    <w:semiHidden/>
    <w:unhideWhenUsed/>
    <w:rsid w:val="00C55414"/>
    <w:rPr>
      <w:rFonts w:ascii="Segoe UI" w:hAnsi="Segoe UI" w:cs="Segoe UI"/>
      <w:sz w:val="18"/>
      <w:szCs w:val="18"/>
    </w:rPr>
  </w:style>
  <w:style w:type="character" w:customStyle="1" w:styleId="SprechblasentextZchn">
    <w:name w:val="Sprechblasentext Zchn"/>
    <w:basedOn w:val="Absatz-Standardschriftart"/>
    <w:link w:val="Sprechblasentext"/>
    <w:semiHidden/>
    <w:rsid w:val="00C55414"/>
    <w:rPr>
      <w:rFonts w:ascii="Segoe UI" w:hAnsi="Segoe UI" w:cs="Segoe UI"/>
      <w:sz w:val="18"/>
      <w:szCs w:val="18"/>
    </w:rPr>
  </w:style>
  <w:style w:type="paragraph" w:styleId="Listenabsatz">
    <w:name w:val="List Paragraph"/>
    <w:basedOn w:val="Standard"/>
    <w:uiPriority w:val="34"/>
    <w:qFormat/>
    <w:rsid w:val="00BA7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FD66-8D37-49E2-B5FE-CE210F93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Postler, Ralf</dc:creator>
  <cp:lastModifiedBy>Baumann, Gerhard</cp:lastModifiedBy>
  <cp:revision>11</cp:revision>
  <cp:lastPrinted>2023-09-29T11:09:00Z</cp:lastPrinted>
  <dcterms:created xsi:type="dcterms:W3CDTF">2022-12-27T10:10:00Z</dcterms:created>
  <dcterms:modified xsi:type="dcterms:W3CDTF">2023-09-29T11:09:00Z</dcterms:modified>
</cp:coreProperties>
</file>