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7C374D" w14:textId="41CC77AD" w:rsidR="006A061B" w:rsidRPr="006E0575" w:rsidRDefault="006A061B" w:rsidP="006A061B">
      <w:pPr>
        <w:jc w:val="right"/>
      </w:pPr>
      <w:r w:rsidRPr="006E0575">
        <w:t xml:space="preserve">Anlage </w:t>
      </w:r>
      <w:r w:rsidR="00E65650">
        <w:t>10</w:t>
      </w:r>
      <w:r w:rsidRPr="006E0575">
        <w:t xml:space="preserve"> zur GRDrs</w:t>
      </w:r>
      <w:r w:rsidR="0034054E">
        <w:t>.</w:t>
      </w:r>
      <w:r w:rsidRPr="006E0575">
        <w:t xml:space="preserve"> </w:t>
      </w:r>
      <w:r w:rsidR="0034054E">
        <w:t>824</w:t>
      </w:r>
      <w:r>
        <w:t>/2023</w:t>
      </w:r>
    </w:p>
    <w:p w14:paraId="60249DFB" w14:textId="77777777" w:rsidR="00946620" w:rsidRPr="006E0575" w:rsidRDefault="00946620" w:rsidP="00946620"/>
    <w:p w14:paraId="77CD9214" w14:textId="77777777" w:rsidR="00946620" w:rsidRPr="006E0575" w:rsidRDefault="00946620" w:rsidP="00946620"/>
    <w:p w14:paraId="2469F8B0" w14:textId="77777777" w:rsidR="00946620" w:rsidRDefault="00946620" w:rsidP="00946620">
      <w:pPr>
        <w:jc w:val="center"/>
        <w:rPr>
          <w:b/>
          <w:sz w:val="36"/>
        </w:rPr>
      </w:pPr>
      <w:r>
        <w:rPr>
          <w:b/>
          <w:sz w:val="36"/>
          <w:u w:val="single"/>
        </w:rPr>
        <w:t>Stellenschaffun</w:t>
      </w:r>
      <w:r w:rsidRPr="00AB389D">
        <w:rPr>
          <w:b/>
          <w:sz w:val="36"/>
        </w:rPr>
        <w:t>g</w:t>
      </w:r>
    </w:p>
    <w:p w14:paraId="10762F50" w14:textId="1C40D9FB" w:rsidR="00946620" w:rsidRPr="00E42F96" w:rsidRDefault="00946620" w:rsidP="00946620">
      <w:pPr>
        <w:jc w:val="center"/>
        <w:rPr>
          <w:b/>
          <w:sz w:val="36"/>
          <w:szCs w:val="36"/>
          <w:u w:val="single"/>
        </w:rPr>
      </w:pPr>
      <w:r w:rsidRPr="00E42F96">
        <w:rPr>
          <w:b/>
          <w:sz w:val="36"/>
          <w:szCs w:val="36"/>
          <w:u w:val="single"/>
        </w:rPr>
        <w:t>zum Stellenplan 20</w:t>
      </w:r>
      <w:r>
        <w:rPr>
          <w:b/>
          <w:sz w:val="36"/>
          <w:szCs w:val="36"/>
          <w:u w:val="single"/>
        </w:rPr>
        <w:t>24</w:t>
      </w:r>
    </w:p>
    <w:p w14:paraId="2101CC75" w14:textId="77777777" w:rsidR="00946620" w:rsidRDefault="00946620" w:rsidP="00946620">
      <w:pPr>
        <w:rPr>
          <w:u w:val="single"/>
        </w:rPr>
      </w:pPr>
    </w:p>
    <w:p w14:paraId="5D0D676A" w14:textId="77777777" w:rsidR="00946620" w:rsidRPr="00E42F96" w:rsidRDefault="00946620" w:rsidP="00946620">
      <w:pPr>
        <w:rPr>
          <w:u w:val="single"/>
        </w:rPr>
      </w:pPr>
    </w:p>
    <w:tbl>
      <w:tblPr>
        <w:tblW w:w="0" w:type="auto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851"/>
        <w:gridCol w:w="1701"/>
        <w:gridCol w:w="851"/>
        <w:gridCol w:w="1134"/>
        <w:gridCol w:w="1588"/>
      </w:tblGrid>
      <w:tr w:rsidR="00946620" w:rsidRPr="006E0575" w14:paraId="03416AFD" w14:textId="77777777" w:rsidTr="004643CB">
        <w:trPr>
          <w:tblHeader/>
        </w:trPr>
        <w:tc>
          <w:tcPr>
            <w:tcW w:w="1701" w:type="dxa"/>
            <w:shd w:val="pct12" w:color="auto" w:fill="FFFFFF"/>
          </w:tcPr>
          <w:p w14:paraId="66452F36" w14:textId="77777777" w:rsidR="00946620" w:rsidRDefault="00946620" w:rsidP="004643CB">
            <w:pPr>
              <w:spacing w:before="120" w:after="120" w:line="200" w:lineRule="exact"/>
              <w:rPr>
                <w:sz w:val="16"/>
                <w:szCs w:val="16"/>
              </w:rPr>
            </w:pPr>
            <w:r w:rsidRPr="006E0575">
              <w:rPr>
                <w:sz w:val="16"/>
                <w:szCs w:val="16"/>
              </w:rPr>
              <w:t>Org.</w:t>
            </w:r>
            <w:r>
              <w:rPr>
                <w:sz w:val="16"/>
                <w:szCs w:val="16"/>
              </w:rPr>
              <w:t>-E</w:t>
            </w:r>
            <w:r w:rsidRPr="006E0575">
              <w:rPr>
                <w:sz w:val="16"/>
                <w:szCs w:val="16"/>
              </w:rPr>
              <w:t>inheit</w:t>
            </w:r>
            <w:r>
              <w:rPr>
                <w:sz w:val="16"/>
                <w:szCs w:val="16"/>
              </w:rPr>
              <w:t>,</w:t>
            </w:r>
          </w:p>
          <w:p w14:paraId="0731256E" w14:textId="77777777" w:rsidR="00946620" w:rsidRPr="006E0575" w:rsidRDefault="00946620" w:rsidP="004643CB">
            <w:pPr>
              <w:spacing w:before="120" w:after="120"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Kostenstelle</w:t>
            </w:r>
          </w:p>
        </w:tc>
        <w:tc>
          <w:tcPr>
            <w:tcW w:w="1701" w:type="dxa"/>
            <w:shd w:val="pct12" w:color="auto" w:fill="FFFFFF"/>
          </w:tcPr>
          <w:p w14:paraId="03759547" w14:textId="77777777" w:rsidR="00946620" w:rsidRPr="006E0575" w:rsidRDefault="00946620" w:rsidP="004643CB">
            <w:pPr>
              <w:spacing w:before="120" w:after="120" w:line="200" w:lineRule="exact"/>
              <w:rPr>
                <w:sz w:val="16"/>
                <w:szCs w:val="16"/>
              </w:rPr>
            </w:pPr>
            <w:r w:rsidRPr="006E0575">
              <w:rPr>
                <w:sz w:val="16"/>
                <w:szCs w:val="16"/>
              </w:rPr>
              <w:t>Amt</w:t>
            </w:r>
          </w:p>
        </w:tc>
        <w:tc>
          <w:tcPr>
            <w:tcW w:w="851" w:type="dxa"/>
            <w:shd w:val="pct12" w:color="auto" w:fill="FFFFFF"/>
          </w:tcPr>
          <w:p w14:paraId="50EC6DA1" w14:textId="77777777" w:rsidR="00946620" w:rsidRDefault="00946620" w:rsidP="004643CB">
            <w:pPr>
              <w:spacing w:before="120" w:after="120"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BesGr.</w:t>
            </w:r>
          </w:p>
          <w:p w14:paraId="1936931B" w14:textId="77777777" w:rsidR="00946620" w:rsidRDefault="00946620" w:rsidP="004643CB">
            <w:pPr>
              <w:spacing w:before="120" w:after="120"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oder</w:t>
            </w:r>
          </w:p>
          <w:p w14:paraId="5DB62F93" w14:textId="77777777" w:rsidR="00946620" w:rsidRPr="006E0575" w:rsidRDefault="00946620" w:rsidP="004643CB">
            <w:pPr>
              <w:spacing w:before="120" w:after="120"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EG</w:t>
            </w:r>
          </w:p>
        </w:tc>
        <w:tc>
          <w:tcPr>
            <w:tcW w:w="1701" w:type="dxa"/>
            <w:shd w:val="pct12" w:color="auto" w:fill="FFFFFF"/>
          </w:tcPr>
          <w:p w14:paraId="314C0028" w14:textId="77777777" w:rsidR="00946620" w:rsidRPr="006E0575" w:rsidRDefault="00946620" w:rsidP="004643CB">
            <w:pPr>
              <w:spacing w:before="120" w:after="120" w:line="200" w:lineRule="exact"/>
              <w:rPr>
                <w:sz w:val="16"/>
                <w:szCs w:val="16"/>
              </w:rPr>
            </w:pPr>
            <w:r w:rsidRPr="006E0575">
              <w:rPr>
                <w:sz w:val="16"/>
                <w:szCs w:val="16"/>
              </w:rPr>
              <w:t>Funktions</w:t>
            </w:r>
            <w:r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br/>
            </w:r>
            <w:r w:rsidRPr="006E0575">
              <w:rPr>
                <w:sz w:val="16"/>
                <w:szCs w:val="16"/>
              </w:rPr>
              <w:t>bezeichnung</w:t>
            </w:r>
          </w:p>
        </w:tc>
        <w:tc>
          <w:tcPr>
            <w:tcW w:w="851" w:type="dxa"/>
            <w:shd w:val="pct12" w:color="auto" w:fill="FFFFFF"/>
          </w:tcPr>
          <w:p w14:paraId="4BAECBA2" w14:textId="77777777" w:rsidR="00946620" w:rsidRPr="006E0575" w:rsidRDefault="00946620" w:rsidP="004643CB">
            <w:pPr>
              <w:spacing w:before="120" w:after="120" w:line="200" w:lineRule="exact"/>
              <w:rPr>
                <w:sz w:val="16"/>
                <w:szCs w:val="16"/>
              </w:rPr>
            </w:pPr>
            <w:r w:rsidRPr="006E0575">
              <w:rPr>
                <w:sz w:val="16"/>
                <w:szCs w:val="16"/>
              </w:rPr>
              <w:t>Anzahl</w:t>
            </w:r>
            <w:r>
              <w:rPr>
                <w:sz w:val="16"/>
                <w:szCs w:val="16"/>
              </w:rPr>
              <w:br/>
            </w:r>
            <w:r w:rsidRPr="006E0575">
              <w:rPr>
                <w:sz w:val="16"/>
                <w:szCs w:val="16"/>
              </w:rPr>
              <w:t>der</w:t>
            </w:r>
            <w:r w:rsidRPr="006E0575">
              <w:rPr>
                <w:sz w:val="16"/>
                <w:szCs w:val="16"/>
              </w:rPr>
              <w:br/>
              <w:t>Stellen</w:t>
            </w:r>
          </w:p>
        </w:tc>
        <w:tc>
          <w:tcPr>
            <w:tcW w:w="1134" w:type="dxa"/>
            <w:shd w:val="pct12" w:color="auto" w:fill="FFFFFF"/>
          </w:tcPr>
          <w:p w14:paraId="0BC6DC2C" w14:textId="77777777" w:rsidR="00946620" w:rsidRPr="006E0575" w:rsidRDefault="00946620" w:rsidP="004643CB">
            <w:pPr>
              <w:spacing w:before="120" w:after="120" w:line="200" w:lineRule="exact"/>
              <w:rPr>
                <w:sz w:val="16"/>
                <w:szCs w:val="16"/>
              </w:rPr>
            </w:pPr>
            <w:r w:rsidRPr="006E0575">
              <w:rPr>
                <w:sz w:val="16"/>
                <w:szCs w:val="16"/>
              </w:rPr>
              <w:t>Stellen-</w:t>
            </w:r>
            <w:r w:rsidRPr="006E0575">
              <w:rPr>
                <w:sz w:val="16"/>
                <w:szCs w:val="16"/>
              </w:rPr>
              <w:br/>
              <w:t>vermerk</w:t>
            </w:r>
          </w:p>
        </w:tc>
        <w:tc>
          <w:tcPr>
            <w:tcW w:w="1588" w:type="dxa"/>
            <w:shd w:val="pct12" w:color="auto" w:fill="FFFFFF"/>
          </w:tcPr>
          <w:p w14:paraId="66F9410D" w14:textId="77777777" w:rsidR="00946620" w:rsidRPr="006E0575" w:rsidRDefault="00946620" w:rsidP="004643CB">
            <w:pPr>
              <w:spacing w:before="120" w:after="120" w:line="200" w:lineRule="exac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Pr="006E0575">
              <w:rPr>
                <w:sz w:val="16"/>
                <w:szCs w:val="16"/>
              </w:rPr>
              <w:t>urchschnittl</w:t>
            </w:r>
            <w:r>
              <w:rPr>
                <w:sz w:val="16"/>
                <w:szCs w:val="16"/>
              </w:rPr>
              <w:t>icher</w:t>
            </w:r>
            <w:r>
              <w:rPr>
                <w:sz w:val="16"/>
                <w:szCs w:val="16"/>
              </w:rPr>
              <w:br/>
              <w:t>jährlicher</w:t>
            </w:r>
            <w:r>
              <w:rPr>
                <w:sz w:val="16"/>
                <w:szCs w:val="16"/>
              </w:rPr>
              <w:br/>
              <w:t>kostenwirksamer</w:t>
            </w:r>
            <w:r>
              <w:rPr>
                <w:sz w:val="16"/>
                <w:szCs w:val="16"/>
              </w:rPr>
              <w:br/>
            </w:r>
            <w:r w:rsidRPr="006E0575">
              <w:rPr>
                <w:sz w:val="16"/>
                <w:szCs w:val="16"/>
              </w:rPr>
              <w:t>Auf</w:t>
            </w:r>
            <w:r>
              <w:rPr>
                <w:sz w:val="16"/>
                <w:szCs w:val="16"/>
              </w:rPr>
              <w:t>wand</w:t>
            </w:r>
            <w:r>
              <w:rPr>
                <w:sz w:val="16"/>
                <w:szCs w:val="16"/>
              </w:rPr>
              <w:br/>
              <w:t>in Euro</w:t>
            </w:r>
          </w:p>
        </w:tc>
      </w:tr>
      <w:tr w:rsidR="00946620" w:rsidRPr="006E0575" w14:paraId="0BEBA422" w14:textId="77777777" w:rsidTr="004643CB">
        <w:tc>
          <w:tcPr>
            <w:tcW w:w="1701" w:type="dxa"/>
          </w:tcPr>
          <w:p w14:paraId="7FB22886" w14:textId="77777777" w:rsidR="00946620" w:rsidRDefault="00946620" w:rsidP="004643CB">
            <w:pPr>
              <w:rPr>
                <w:sz w:val="20"/>
              </w:rPr>
            </w:pPr>
          </w:p>
          <w:p w14:paraId="70C99ADC" w14:textId="77777777" w:rsidR="00946620" w:rsidRDefault="00946620" w:rsidP="004643CB">
            <w:pPr>
              <w:rPr>
                <w:sz w:val="20"/>
              </w:rPr>
            </w:pPr>
            <w:r>
              <w:rPr>
                <w:sz w:val="20"/>
              </w:rPr>
              <w:t>36-5.3</w:t>
            </w:r>
          </w:p>
          <w:p w14:paraId="0146D659" w14:textId="77777777" w:rsidR="00946620" w:rsidRDefault="00946620" w:rsidP="004643CB">
            <w:pPr>
              <w:rPr>
                <w:sz w:val="20"/>
              </w:rPr>
            </w:pPr>
          </w:p>
          <w:p w14:paraId="1599C184" w14:textId="1F477F78" w:rsidR="00946620" w:rsidRDefault="00A27C89" w:rsidP="004643CB">
            <w:pPr>
              <w:rPr>
                <w:sz w:val="20"/>
              </w:rPr>
            </w:pPr>
            <w:r>
              <w:rPr>
                <w:sz w:val="20"/>
              </w:rPr>
              <w:t>3650</w:t>
            </w:r>
            <w:r w:rsidR="0034054E">
              <w:rPr>
                <w:sz w:val="20"/>
              </w:rPr>
              <w:t xml:space="preserve"> </w:t>
            </w:r>
            <w:r>
              <w:rPr>
                <w:sz w:val="20"/>
              </w:rPr>
              <w:t>5300</w:t>
            </w:r>
          </w:p>
          <w:p w14:paraId="46A1ACBC" w14:textId="77777777" w:rsidR="00946620" w:rsidRPr="006E0575" w:rsidRDefault="00946620" w:rsidP="004643CB">
            <w:pPr>
              <w:rPr>
                <w:sz w:val="20"/>
              </w:rPr>
            </w:pPr>
          </w:p>
        </w:tc>
        <w:tc>
          <w:tcPr>
            <w:tcW w:w="1701" w:type="dxa"/>
          </w:tcPr>
          <w:p w14:paraId="436C8E16" w14:textId="77777777" w:rsidR="00946620" w:rsidRDefault="00946620" w:rsidP="004643CB">
            <w:pPr>
              <w:rPr>
                <w:sz w:val="20"/>
              </w:rPr>
            </w:pPr>
          </w:p>
          <w:p w14:paraId="3693C5CC" w14:textId="085A7CF6" w:rsidR="00946620" w:rsidRPr="006E0575" w:rsidRDefault="0052069C" w:rsidP="004643CB">
            <w:pPr>
              <w:rPr>
                <w:sz w:val="20"/>
              </w:rPr>
            </w:pPr>
            <w:r>
              <w:rPr>
                <w:sz w:val="20"/>
              </w:rPr>
              <w:t>Amt für Umweltschutz</w:t>
            </w:r>
          </w:p>
        </w:tc>
        <w:tc>
          <w:tcPr>
            <w:tcW w:w="851" w:type="dxa"/>
          </w:tcPr>
          <w:p w14:paraId="5E17FAD9" w14:textId="77777777" w:rsidR="00946620" w:rsidRDefault="00946620" w:rsidP="004643CB">
            <w:pPr>
              <w:rPr>
                <w:sz w:val="20"/>
              </w:rPr>
            </w:pPr>
          </w:p>
          <w:p w14:paraId="58FF4B92" w14:textId="0FA1EA94" w:rsidR="00946620" w:rsidRPr="006E0575" w:rsidRDefault="0052069C" w:rsidP="004643CB">
            <w:pPr>
              <w:rPr>
                <w:sz w:val="20"/>
              </w:rPr>
            </w:pPr>
            <w:r>
              <w:rPr>
                <w:sz w:val="20"/>
              </w:rPr>
              <w:t xml:space="preserve">EG 13 </w:t>
            </w:r>
          </w:p>
        </w:tc>
        <w:tc>
          <w:tcPr>
            <w:tcW w:w="1701" w:type="dxa"/>
          </w:tcPr>
          <w:p w14:paraId="5502F9BA" w14:textId="77777777" w:rsidR="00946620" w:rsidRDefault="00946620" w:rsidP="004643CB">
            <w:pPr>
              <w:rPr>
                <w:sz w:val="20"/>
              </w:rPr>
            </w:pPr>
          </w:p>
          <w:p w14:paraId="6E333EAB" w14:textId="14F1D153" w:rsidR="00946620" w:rsidRPr="006E0575" w:rsidRDefault="0052069C" w:rsidP="0052069C">
            <w:pPr>
              <w:rPr>
                <w:sz w:val="20"/>
              </w:rPr>
            </w:pPr>
            <w:r>
              <w:rPr>
                <w:sz w:val="20"/>
              </w:rPr>
              <w:t>Sachbearbeiter/</w:t>
            </w:r>
            <w:r w:rsidR="0034054E">
              <w:rPr>
                <w:sz w:val="20"/>
              </w:rPr>
              <w:t xml:space="preserve"> </w:t>
            </w:r>
            <w:r>
              <w:rPr>
                <w:sz w:val="20"/>
              </w:rPr>
              <w:t>-in</w:t>
            </w:r>
          </w:p>
        </w:tc>
        <w:tc>
          <w:tcPr>
            <w:tcW w:w="851" w:type="dxa"/>
            <w:shd w:val="pct12" w:color="auto" w:fill="FFFFFF"/>
          </w:tcPr>
          <w:p w14:paraId="3EF807C1" w14:textId="77777777" w:rsidR="00946620" w:rsidRDefault="00946620" w:rsidP="004643CB">
            <w:pPr>
              <w:rPr>
                <w:sz w:val="20"/>
              </w:rPr>
            </w:pPr>
          </w:p>
          <w:p w14:paraId="4C4E44AA" w14:textId="6BF3505B" w:rsidR="00946620" w:rsidRPr="006E0575" w:rsidRDefault="008C0007" w:rsidP="004643CB">
            <w:pPr>
              <w:rPr>
                <w:sz w:val="20"/>
              </w:rPr>
            </w:pPr>
            <w:r>
              <w:rPr>
                <w:sz w:val="20"/>
              </w:rPr>
              <w:t>1</w:t>
            </w:r>
            <w:r w:rsidR="00946620">
              <w:rPr>
                <w:sz w:val="20"/>
              </w:rPr>
              <w:t>,0</w:t>
            </w:r>
          </w:p>
        </w:tc>
        <w:tc>
          <w:tcPr>
            <w:tcW w:w="1134" w:type="dxa"/>
          </w:tcPr>
          <w:p w14:paraId="71AD0785" w14:textId="77777777" w:rsidR="00946620" w:rsidRDefault="00946620" w:rsidP="004643CB">
            <w:pPr>
              <w:rPr>
                <w:sz w:val="20"/>
              </w:rPr>
            </w:pPr>
          </w:p>
          <w:p w14:paraId="16066A63" w14:textId="317436D8" w:rsidR="00946620" w:rsidRPr="006E0575" w:rsidRDefault="00F11A1D" w:rsidP="004643CB">
            <w:pPr>
              <w:rPr>
                <w:sz w:val="20"/>
              </w:rPr>
            </w:pPr>
            <w:r>
              <w:rPr>
                <w:sz w:val="20"/>
              </w:rPr>
              <w:t>KW 01/2026</w:t>
            </w:r>
          </w:p>
        </w:tc>
        <w:tc>
          <w:tcPr>
            <w:tcW w:w="1588" w:type="dxa"/>
          </w:tcPr>
          <w:p w14:paraId="6AA6B8E8" w14:textId="77777777" w:rsidR="00A27C89" w:rsidRDefault="00A27C89" w:rsidP="004643CB">
            <w:pPr>
              <w:rPr>
                <w:sz w:val="20"/>
              </w:rPr>
            </w:pPr>
          </w:p>
          <w:p w14:paraId="284F7942" w14:textId="1BF80F82" w:rsidR="00946620" w:rsidRPr="006E0575" w:rsidRDefault="0034054E" w:rsidP="004643CB">
            <w:pPr>
              <w:rPr>
                <w:sz w:val="20"/>
              </w:rPr>
            </w:pPr>
            <w:r>
              <w:rPr>
                <w:sz w:val="20"/>
              </w:rPr>
              <w:t>89.500</w:t>
            </w:r>
          </w:p>
        </w:tc>
      </w:tr>
    </w:tbl>
    <w:p w14:paraId="0B5A4F34" w14:textId="77777777" w:rsidR="003D7B0B" w:rsidRPr="00884D6C" w:rsidRDefault="006E0575" w:rsidP="00CD5067">
      <w:pPr>
        <w:pStyle w:val="berschrift1"/>
      </w:pPr>
      <w:r w:rsidRPr="00884D6C">
        <w:t>1</w:t>
      </w:r>
      <w:r w:rsidR="00884D6C">
        <w:tab/>
      </w:r>
      <w:r w:rsidR="003D7B0B" w:rsidRPr="00884D6C">
        <w:t>Antra</w:t>
      </w:r>
      <w:r w:rsidR="003D7B0B" w:rsidRPr="00884D6C">
        <w:rPr>
          <w:u w:val="none"/>
        </w:rPr>
        <w:t>g</w:t>
      </w:r>
      <w:r w:rsidR="003D7B0B" w:rsidRPr="00884D6C">
        <w:t>, Stellenausstattun</w:t>
      </w:r>
      <w:r w:rsidR="003D7B0B" w:rsidRPr="00884D6C">
        <w:rPr>
          <w:u w:val="none"/>
        </w:rPr>
        <w:t>g</w:t>
      </w:r>
    </w:p>
    <w:p w14:paraId="229D2C59" w14:textId="77777777" w:rsidR="003D7B0B" w:rsidRDefault="003D7B0B" w:rsidP="00CD5067"/>
    <w:p w14:paraId="02BB1D7D" w14:textId="3E3DA3B4" w:rsidR="00AD21A9" w:rsidRDefault="0052069C" w:rsidP="000E2DC0">
      <w:pPr>
        <w:jc w:val="left"/>
      </w:pPr>
      <w:r>
        <w:t xml:space="preserve">Es wird </w:t>
      </w:r>
      <w:r w:rsidR="0034054E">
        <w:t>1,0</w:t>
      </w:r>
      <w:r w:rsidR="00AD21A9" w:rsidRPr="00C84F72">
        <w:t xml:space="preserve"> Stelle </w:t>
      </w:r>
      <w:r w:rsidR="00D1256B">
        <w:t>in EG 13</w:t>
      </w:r>
      <w:r>
        <w:t xml:space="preserve"> für eine/-</w:t>
      </w:r>
      <w:r w:rsidR="00D1256B">
        <w:t>n Sachbearbeiter</w:t>
      </w:r>
      <w:r>
        <w:t>/-</w:t>
      </w:r>
      <w:r w:rsidR="00AD21A9" w:rsidRPr="00C84F72">
        <w:t xml:space="preserve">in für die </w:t>
      </w:r>
      <w:r w:rsidR="00AD21A9">
        <w:t>Entwicklung und Umsetzung energetischer Quartierskonzepte mit dem Ziel de</w:t>
      </w:r>
      <w:r w:rsidR="008A1C60">
        <w:t>r Klimaneutralität im Jahr 2035</w:t>
      </w:r>
      <w:r>
        <w:t xml:space="preserve"> geschaffen</w:t>
      </w:r>
      <w:r w:rsidR="008A1C60">
        <w:t>.</w:t>
      </w:r>
    </w:p>
    <w:p w14:paraId="5F66FF01" w14:textId="77777777" w:rsidR="003D7B0B" w:rsidRDefault="003D7B0B" w:rsidP="00CD5067">
      <w:pPr>
        <w:pStyle w:val="berschrift1"/>
      </w:pPr>
      <w:r>
        <w:t>2</w:t>
      </w:r>
      <w:r>
        <w:tab/>
        <w:t>Schaffun</w:t>
      </w:r>
      <w:r w:rsidRPr="00884D6C">
        <w:rPr>
          <w:u w:val="none"/>
        </w:rPr>
        <w:t>g</w:t>
      </w:r>
      <w:r>
        <w:t>skriterien</w:t>
      </w:r>
    </w:p>
    <w:p w14:paraId="0D51A4DB" w14:textId="77777777" w:rsidR="003D7B0B" w:rsidRDefault="003D7B0B" w:rsidP="00CD5067"/>
    <w:p w14:paraId="102E27B9" w14:textId="254026F1" w:rsidR="00AD21A9" w:rsidRDefault="0052069C" w:rsidP="000E2DC0">
      <w:pPr>
        <w:jc w:val="left"/>
      </w:pPr>
      <w:r>
        <w:rPr>
          <w:color w:val="000000"/>
        </w:rPr>
        <w:t>Die Stellenschaffung ist in der „Grünen Liste“ zum Haushalt 2024/2025 enthalten.</w:t>
      </w:r>
      <w:r w:rsidR="008A1C60">
        <w:t xml:space="preserve"> </w:t>
      </w:r>
    </w:p>
    <w:p w14:paraId="55B6A698" w14:textId="77777777" w:rsidR="003D7B0B" w:rsidRDefault="003D7B0B" w:rsidP="00CD5067">
      <w:pPr>
        <w:pStyle w:val="berschrift1"/>
      </w:pPr>
      <w:r>
        <w:t>3</w:t>
      </w:r>
      <w:r>
        <w:tab/>
        <w:t>Bedarf</w:t>
      </w:r>
    </w:p>
    <w:p w14:paraId="7C68ABF2" w14:textId="77777777" w:rsidR="00946620" w:rsidRPr="00946620" w:rsidRDefault="00946620" w:rsidP="00946620"/>
    <w:p w14:paraId="5B21EC82" w14:textId="77777777" w:rsidR="003D7B0B" w:rsidRDefault="00884D6C" w:rsidP="00BE65A5">
      <w:pPr>
        <w:pStyle w:val="berschrift2"/>
      </w:pPr>
      <w:r w:rsidRPr="00884D6C">
        <w:t>3.1</w:t>
      </w:r>
      <w:r w:rsidRPr="00884D6C">
        <w:tab/>
      </w:r>
      <w:r w:rsidR="006E0575" w:rsidRPr="00884D6C">
        <w:t>Anlass</w:t>
      </w:r>
    </w:p>
    <w:p w14:paraId="479ED06A" w14:textId="77777777" w:rsidR="00946620" w:rsidRPr="00946620" w:rsidRDefault="00946620" w:rsidP="00946620"/>
    <w:p w14:paraId="1391F6FF" w14:textId="411B7A2E" w:rsidR="00653070" w:rsidRDefault="00E15C6D" w:rsidP="000E2DC0">
      <w:pPr>
        <w:jc w:val="left"/>
      </w:pPr>
      <w:r w:rsidRPr="0094181B">
        <w:t>Die energetische Quartiersentwicklung ist eine der zentralen Aufgaben zur Realisieru</w:t>
      </w:r>
      <w:r w:rsidR="006D070F">
        <w:t>ng des Klimaneutralitätsziels</w:t>
      </w:r>
      <w:r w:rsidRPr="0094181B">
        <w:t xml:space="preserve"> 2035. </w:t>
      </w:r>
      <w:r w:rsidR="00C26437" w:rsidRPr="00A60B2B">
        <w:t xml:space="preserve">Ziel </w:t>
      </w:r>
      <w:r w:rsidR="00C26437">
        <w:t xml:space="preserve">ist es, </w:t>
      </w:r>
      <w:r w:rsidR="006D070F">
        <w:t xml:space="preserve">für jedes einzelne Quartier ein Konzept zu </w:t>
      </w:r>
      <w:r w:rsidR="000B254A">
        <w:t>entwickeln und umzusetzen</w:t>
      </w:r>
      <w:r w:rsidR="006D070F">
        <w:t>, mit dem der Energiebedarf gesenkt</w:t>
      </w:r>
      <w:r w:rsidR="00C26437" w:rsidRPr="00A60B2B">
        <w:t xml:space="preserve"> und </w:t>
      </w:r>
      <w:r w:rsidR="006D070F">
        <w:t xml:space="preserve">möglichst effizient </w:t>
      </w:r>
      <w:r w:rsidR="00C26437" w:rsidRPr="00A60B2B">
        <w:t xml:space="preserve">eine nachhaltige Energieversorgung </w:t>
      </w:r>
      <w:r w:rsidR="006D070F">
        <w:t>sichergestellt werden kann</w:t>
      </w:r>
      <w:r w:rsidR="00C26437" w:rsidRPr="00A60B2B">
        <w:t xml:space="preserve">. Durch diese ganzheitliche Betrachtung können vorhandene </w:t>
      </w:r>
      <w:r w:rsidR="006D070F">
        <w:t xml:space="preserve">erneuerbare Energiepotenziale (z. B. Geothermie) sowie andere Potenziale (z. B. </w:t>
      </w:r>
      <w:r w:rsidR="00C26437">
        <w:t>Abwärme aus einem Klärwerk oder einem großen Abwasserkanal</w:t>
      </w:r>
      <w:r w:rsidR="006D070F">
        <w:t>)</w:t>
      </w:r>
      <w:r w:rsidR="00C26437" w:rsidRPr="00A60B2B">
        <w:t xml:space="preserve"> und bestehende Energiesenken</w:t>
      </w:r>
      <w:r w:rsidR="008C0007">
        <w:t xml:space="preserve"> (</w:t>
      </w:r>
      <w:r w:rsidR="00C26437">
        <w:t>z.</w:t>
      </w:r>
      <w:r w:rsidR="008C0007">
        <w:t> </w:t>
      </w:r>
      <w:r w:rsidR="00C26437">
        <w:t>B. Industrie mit Prozesswärme, S</w:t>
      </w:r>
      <w:r w:rsidR="00C07C37">
        <w:t>chwimmbäder, große Wohnblöcke</w:t>
      </w:r>
      <w:r w:rsidR="008C0007">
        <w:t>)</w:t>
      </w:r>
      <w:r w:rsidR="00C26437" w:rsidRPr="00A60B2B">
        <w:t xml:space="preserve"> vernetzt werden</w:t>
      </w:r>
      <w:r w:rsidR="00C07C37">
        <w:t>.</w:t>
      </w:r>
      <w:r w:rsidR="00C26437" w:rsidRPr="00A60B2B">
        <w:t xml:space="preserve"> </w:t>
      </w:r>
    </w:p>
    <w:p w14:paraId="40F310DE" w14:textId="77777777" w:rsidR="00946620" w:rsidRDefault="00946620" w:rsidP="000E2DC0">
      <w:pPr>
        <w:jc w:val="left"/>
      </w:pPr>
    </w:p>
    <w:p w14:paraId="188EF568" w14:textId="400055B7" w:rsidR="00653070" w:rsidRDefault="00C26437" w:rsidP="000E2DC0">
      <w:pPr>
        <w:jc w:val="left"/>
      </w:pPr>
      <w:r w:rsidRPr="00A60B2B">
        <w:t>Für Bestandsquartiere mit einer Vielzahl energetischer Potenziale (z.</w:t>
      </w:r>
      <w:r w:rsidR="008C0007">
        <w:t> </w:t>
      </w:r>
      <w:r w:rsidRPr="00A60B2B">
        <w:t xml:space="preserve">B. </w:t>
      </w:r>
      <w:r w:rsidR="008C0007" w:rsidRPr="00A60B2B">
        <w:t>Sanierungsbedarf</w:t>
      </w:r>
      <w:r w:rsidR="008C0007">
        <w:t>,</w:t>
      </w:r>
      <w:r w:rsidR="008C0007" w:rsidRPr="00A60B2B">
        <w:t xml:space="preserve"> </w:t>
      </w:r>
      <w:r w:rsidRPr="00A60B2B">
        <w:t xml:space="preserve">Möglichkeit zur Realisierung eines Nahwärmenetzes, Nutzung </w:t>
      </w:r>
      <w:r w:rsidR="006D070F">
        <w:t>erneuerbarer Energien</w:t>
      </w:r>
      <w:r w:rsidRPr="00A60B2B">
        <w:t>, Vernetzung von Gewerbe- und Wohngebiet) bietet sich die Erstellung eines ganzheitlichen ener</w:t>
      </w:r>
      <w:r w:rsidR="00C07C37">
        <w:t>getischen Quartierskonzepts an</w:t>
      </w:r>
      <w:r w:rsidR="008C0007">
        <w:t>,</w:t>
      </w:r>
      <w:r w:rsidR="00C07C37">
        <w:t xml:space="preserve"> um</w:t>
      </w:r>
      <w:r w:rsidR="00C07C37" w:rsidRPr="00A60B2B">
        <w:t xml:space="preserve"> ineffiziente Parallelentwicklungen</w:t>
      </w:r>
      <w:r w:rsidR="00C07C37">
        <w:t xml:space="preserve"> in Quartieren zu vermeiden u</w:t>
      </w:r>
      <w:r w:rsidR="00EA62EF">
        <w:t xml:space="preserve">nd Synergien optimal zu nutzen. Potenziale für erneuerbare Energien in Stuttgart sind sehr begrenzt. Freiflächen sind durch die dichte Bebauung grundsätzlich wenig vorhanden und mit vielen unterschiedlichen Interessen behaftet. </w:t>
      </w:r>
      <w:r w:rsidR="00EA62EF">
        <w:lastRenderedPageBreak/>
        <w:t xml:space="preserve">Ein strategisches Vorgehen und Verzahnung der einzelnen Akteure ist </w:t>
      </w:r>
      <w:r w:rsidR="006D070F">
        <w:t xml:space="preserve">infolgedessen </w:t>
      </w:r>
      <w:r w:rsidR="00EA62EF">
        <w:t>entscheidend für eine erf</w:t>
      </w:r>
      <w:r w:rsidR="006D070F">
        <w:t>olgreiche Umsetzung des Konzept</w:t>
      </w:r>
      <w:r w:rsidR="00EA62EF">
        <w:t xml:space="preserve">s und somit </w:t>
      </w:r>
      <w:r w:rsidR="006D070F">
        <w:t>zur Erreichung der</w:t>
      </w:r>
      <w:r w:rsidR="00EA62EF">
        <w:t xml:space="preserve"> Klimaneutralität </w:t>
      </w:r>
      <w:r w:rsidR="006D070F">
        <w:t xml:space="preserve">in </w:t>
      </w:r>
      <w:r w:rsidR="00EA62EF">
        <w:t xml:space="preserve">2035. </w:t>
      </w:r>
      <w:r w:rsidR="00735E5B">
        <w:t>Besonders erfolgsentscheidend ist</w:t>
      </w:r>
      <w:r w:rsidR="00EA62EF">
        <w:t xml:space="preserve">, </w:t>
      </w:r>
      <w:r w:rsidR="00735E5B">
        <w:t xml:space="preserve">dass </w:t>
      </w:r>
      <w:r w:rsidR="00EA62EF">
        <w:t>die wichtigen Ak</w:t>
      </w:r>
      <w:r w:rsidR="006D070F">
        <w:t>teure im Quartier identifiziert</w:t>
      </w:r>
      <w:r w:rsidR="00EA62EF">
        <w:t xml:space="preserve"> und zusamme</w:t>
      </w:r>
      <w:r w:rsidR="00735E5B">
        <w:t>ngebracht werden</w:t>
      </w:r>
      <w:r w:rsidR="00EA62EF">
        <w:t xml:space="preserve">. Zum einen die </w:t>
      </w:r>
      <w:r w:rsidR="006D070F">
        <w:t>relevanten Ämter und Eigenbetriebe</w:t>
      </w:r>
      <w:r w:rsidR="00EA62EF">
        <w:t xml:space="preserve"> </w:t>
      </w:r>
      <w:r w:rsidR="008C0007">
        <w:t>(</w:t>
      </w:r>
      <w:r w:rsidR="00EA62EF">
        <w:t>z.</w:t>
      </w:r>
      <w:r w:rsidR="008C0007">
        <w:t> </w:t>
      </w:r>
      <w:r w:rsidR="00EA62EF">
        <w:t>B</w:t>
      </w:r>
      <w:r w:rsidR="00483E48">
        <w:t>.</w:t>
      </w:r>
      <w:r w:rsidR="008C0007">
        <w:t> </w:t>
      </w:r>
      <w:r w:rsidR="00EA62EF">
        <w:t>Stadtplanungsamt, Hochbauamt,</w:t>
      </w:r>
      <w:r w:rsidR="006F4842">
        <w:t xml:space="preserve"> Baurechtsamt, Tiefbauamt, …) aber auch das Tochterunternehmen</w:t>
      </w:r>
      <w:r w:rsidR="00EA62EF">
        <w:t xml:space="preserve"> SWSG</w:t>
      </w:r>
      <w:r w:rsidR="006F4842">
        <w:t xml:space="preserve"> und die a</w:t>
      </w:r>
      <w:r w:rsidR="00EA62EF">
        <w:t xml:space="preserve">nderen privaten Akteure </w:t>
      </w:r>
      <w:r w:rsidR="008C0007">
        <w:t>(</w:t>
      </w:r>
      <w:r w:rsidR="00EA62EF">
        <w:t>z.</w:t>
      </w:r>
      <w:r w:rsidR="008C0007">
        <w:t> </w:t>
      </w:r>
      <w:r w:rsidR="00EA62EF">
        <w:t>B.</w:t>
      </w:r>
      <w:r w:rsidR="008C0007">
        <w:t> </w:t>
      </w:r>
      <w:r w:rsidR="00EA62EF">
        <w:t>Baugenossenschaften, Industrie- und Gewerbetreibende</w:t>
      </w:r>
      <w:r w:rsidR="006D070F">
        <w:t>)</w:t>
      </w:r>
      <w:r w:rsidR="006F4842">
        <w:t xml:space="preserve"> </w:t>
      </w:r>
      <w:r w:rsidR="003E310D">
        <w:t>sowie</w:t>
      </w:r>
      <w:r w:rsidR="006F4842">
        <w:t xml:space="preserve"> das Energieberatungszentrum EBZ</w:t>
      </w:r>
      <w:r w:rsidR="00653070">
        <w:t xml:space="preserve">. </w:t>
      </w:r>
    </w:p>
    <w:p w14:paraId="20E079EC" w14:textId="77777777" w:rsidR="0052069C" w:rsidRDefault="0052069C" w:rsidP="000E2DC0">
      <w:pPr>
        <w:jc w:val="left"/>
      </w:pPr>
    </w:p>
    <w:p w14:paraId="5EB20D7A" w14:textId="5DBE0A9A" w:rsidR="0052069C" w:rsidRDefault="0052069C" w:rsidP="000E2DC0">
      <w:pPr>
        <w:jc w:val="left"/>
      </w:pPr>
      <w:r>
        <w:t>Weitere Ausführungen siehe auch GRDrs</w:t>
      </w:r>
      <w:r w:rsidR="0034054E">
        <w:t>.</w:t>
      </w:r>
      <w:r>
        <w:t xml:space="preserve"> 480/2023 (Mitteilungsvorlage zum Haushaltsplan 2024/2025).</w:t>
      </w:r>
    </w:p>
    <w:p w14:paraId="05AE119C" w14:textId="77777777" w:rsidR="00946620" w:rsidRDefault="00946620" w:rsidP="00C26437"/>
    <w:p w14:paraId="74E3432A" w14:textId="77777777" w:rsidR="003D7B0B" w:rsidRDefault="003D7B0B" w:rsidP="00CD5067">
      <w:pPr>
        <w:pStyle w:val="berschrift2"/>
      </w:pPr>
      <w:r w:rsidRPr="00165C0D">
        <w:t>3.2</w:t>
      </w:r>
      <w:r w:rsidRPr="00165C0D">
        <w:tab/>
        <w:t>Bisherige Aufgabenwahrnehmung</w:t>
      </w:r>
    </w:p>
    <w:p w14:paraId="6C3687D1" w14:textId="77777777" w:rsidR="00946620" w:rsidRPr="00946620" w:rsidRDefault="00946620" w:rsidP="00946620"/>
    <w:p w14:paraId="49589675" w14:textId="2DFD35A7" w:rsidR="00946620" w:rsidRDefault="005825A1" w:rsidP="000E2DC0">
      <w:pPr>
        <w:jc w:val="left"/>
      </w:pPr>
      <w:bookmarkStart w:id="0" w:name="_GoBack"/>
      <w:r>
        <w:t xml:space="preserve">Aktuell stehen für die oben genannten Aufgaben 3,0 Stellen in der Energieabteilung des </w:t>
      </w:r>
      <w:bookmarkEnd w:id="0"/>
      <w:r>
        <w:t>Amts für Umweltschutz zur Verfügung</w:t>
      </w:r>
      <w:r w:rsidR="00BD7264">
        <w:t xml:space="preserve"> (1,0 Stellen davon wurden im Vorgriffsverfahren zum DHH 2024/2025 geschaffen)</w:t>
      </w:r>
      <w:r>
        <w:t xml:space="preserve">. </w:t>
      </w:r>
      <w:r w:rsidR="006F4842">
        <w:t>Das Vorziehen des Zieljahr</w:t>
      </w:r>
      <w:r w:rsidR="00C81010" w:rsidRPr="0094181B">
        <w:t>s</w:t>
      </w:r>
      <w:r w:rsidR="00C81010">
        <w:t xml:space="preserve"> von 2050 auf 2035</w:t>
      </w:r>
      <w:r w:rsidR="00C81010" w:rsidRPr="0094181B">
        <w:t xml:space="preserve"> führt dazu, dass </w:t>
      </w:r>
      <w:r w:rsidR="00C81010">
        <w:t xml:space="preserve">zeitgleich etwa doppelt so viele </w:t>
      </w:r>
      <w:r w:rsidR="003E310D">
        <w:t xml:space="preserve">energetischen </w:t>
      </w:r>
      <w:r w:rsidR="00C81010">
        <w:t>Quartier</w:t>
      </w:r>
      <w:r w:rsidR="003E310D">
        <w:t>skonzepte</w:t>
      </w:r>
      <w:r w:rsidR="00C81010">
        <w:t xml:space="preserve"> nötig </w:t>
      </w:r>
      <w:r w:rsidR="003E310D">
        <w:t>sind</w:t>
      </w:r>
      <w:r w:rsidR="000B254A">
        <w:t>,</w:t>
      </w:r>
      <w:r w:rsidR="00C81010">
        <w:t xml:space="preserve"> um das Ziel zu erreichen. </w:t>
      </w:r>
      <w:r w:rsidR="00BE65A5">
        <w:t xml:space="preserve">Insbesondere die </w:t>
      </w:r>
      <w:r w:rsidR="00755D29">
        <w:t>Aktivierung vor</w:t>
      </w:r>
      <w:r w:rsidR="00BE65A5">
        <w:t xml:space="preserve"> Ort, die Umsetzungsabsprachen mit allen Beteiligten und die Betreuung der aufkommenden Neubauprojekte sind aktuell </w:t>
      </w:r>
      <w:r w:rsidR="007A1939">
        <w:t xml:space="preserve">nur </w:t>
      </w:r>
      <w:r>
        <w:t>für einen Teil der erforderlichen Quartiere möglich.</w:t>
      </w:r>
    </w:p>
    <w:p w14:paraId="47EB286E" w14:textId="77777777" w:rsidR="0089393F" w:rsidRDefault="0089393F" w:rsidP="00CD5067"/>
    <w:p w14:paraId="5AD8B2A6" w14:textId="11870FCE" w:rsidR="003D7B0B" w:rsidRPr="00483E48" w:rsidRDefault="006E0575" w:rsidP="00483E48">
      <w:pPr>
        <w:jc w:val="left"/>
        <w:rPr>
          <w:b/>
        </w:rPr>
      </w:pPr>
      <w:r w:rsidRPr="00483E48">
        <w:rPr>
          <w:b/>
        </w:rPr>
        <w:t>3</w:t>
      </w:r>
      <w:r w:rsidR="00483E48" w:rsidRPr="00483E48">
        <w:rPr>
          <w:b/>
        </w:rPr>
        <w:t>.3</w:t>
      </w:r>
      <w:r w:rsidR="00483E48">
        <w:rPr>
          <w:b/>
        </w:rPr>
        <w:t xml:space="preserve"> </w:t>
      </w:r>
      <w:r w:rsidR="003D7B0B" w:rsidRPr="00483E48">
        <w:rPr>
          <w:b/>
        </w:rPr>
        <w:t>Auswirkungen bei Ablehnung der Stellenschaffungen</w:t>
      </w:r>
    </w:p>
    <w:p w14:paraId="0B8707B6" w14:textId="77777777" w:rsidR="00946620" w:rsidRPr="00946620" w:rsidRDefault="00946620" w:rsidP="00946620"/>
    <w:p w14:paraId="464A74DA" w14:textId="677BA8DE" w:rsidR="003D7B0B" w:rsidRDefault="00AD21A9" w:rsidP="000E2DC0">
      <w:pPr>
        <w:jc w:val="left"/>
      </w:pPr>
      <w:r w:rsidRPr="00C84F72">
        <w:t xml:space="preserve">Bei Ablehnung der Stellenschaffung </w:t>
      </w:r>
      <w:r w:rsidR="007E54F6">
        <w:t>kann die Entwicklung der Quartierskonzepte nicht im entsprechenden Tempo vorangetrieben werden, sodass</w:t>
      </w:r>
      <w:r>
        <w:t xml:space="preserve"> die Klimaneutralität bis 2035 </w:t>
      </w:r>
      <w:r w:rsidR="007E54F6">
        <w:t xml:space="preserve">möglicherweise </w:t>
      </w:r>
      <w:r>
        <w:t xml:space="preserve">nicht erreicht </w:t>
      </w:r>
      <w:r w:rsidR="007E54F6">
        <w:t>werden kann</w:t>
      </w:r>
      <w:r>
        <w:t>.</w:t>
      </w:r>
    </w:p>
    <w:p w14:paraId="3171B446" w14:textId="77777777" w:rsidR="003D7B0B" w:rsidRDefault="00884D6C" w:rsidP="00CD5067">
      <w:pPr>
        <w:pStyle w:val="berschrift1"/>
      </w:pPr>
      <w:r>
        <w:t>4</w:t>
      </w:r>
      <w:r>
        <w:tab/>
      </w:r>
      <w:r w:rsidR="003D7B0B">
        <w:t>Stellenvermerke</w:t>
      </w:r>
    </w:p>
    <w:p w14:paraId="721DBC8A" w14:textId="77777777" w:rsidR="003D7B0B" w:rsidRDefault="003D7B0B" w:rsidP="00CD5067"/>
    <w:p w14:paraId="79D6F589" w14:textId="17ACB2FB" w:rsidR="00DE362D" w:rsidRDefault="00F11A1D" w:rsidP="00CD5067">
      <w:r>
        <w:t>Schaffung mit Vermerk „KW 01/2026“ entsprechend der Mittelbereitstellung für den Doppel-HH 2024/2025.</w:t>
      </w:r>
    </w:p>
    <w:sectPr w:rsidR="00DE362D" w:rsidSect="00165C0D">
      <w:pgSz w:w="11907" w:h="16840" w:code="9"/>
      <w:pgMar w:top="1418" w:right="1134" w:bottom="1418" w:left="1418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FB2B37" w14:textId="77777777" w:rsidR="005D52B9" w:rsidRDefault="005D52B9" w:rsidP="00CD5067">
      <w:r>
        <w:separator/>
      </w:r>
    </w:p>
  </w:endnote>
  <w:endnote w:type="continuationSeparator" w:id="0">
    <w:p w14:paraId="6344FE34" w14:textId="77777777" w:rsidR="005D52B9" w:rsidRDefault="005D52B9" w:rsidP="00CD5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65015D" w14:textId="77777777" w:rsidR="005D52B9" w:rsidRDefault="005D52B9" w:rsidP="00CD5067">
      <w:r>
        <w:separator/>
      </w:r>
    </w:p>
  </w:footnote>
  <w:footnote w:type="continuationSeparator" w:id="0">
    <w:p w14:paraId="4F72A645" w14:textId="77777777" w:rsidR="005D52B9" w:rsidRDefault="005D52B9" w:rsidP="00CD50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9254875"/>
    <w:multiLevelType w:val="singleLevel"/>
    <w:tmpl w:val="C8D2C306"/>
    <w:lvl w:ilvl="0">
      <w:start w:val="4"/>
      <w:numFmt w:val="decimal"/>
      <w:lvlText w:val="%1."/>
      <w:legacy w:legacy="1" w:legacySpace="0" w:legacyIndent="420"/>
      <w:lvlJc w:val="left"/>
      <w:pPr>
        <w:ind w:left="420" w:hanging="420"/>
      </w:pPr>
    </w:lvl>
  </w:abstractNum>
  <w:abstractNum w:abstractNumId="2" w15:restartNumberingAfterBreak="0">
    <w:nsid w:val="1BA379D3"/>
    <w:multiLevelType w:val="multilevel"/>
    <w:tmpl w:val="D462444A"/>
    <w:lvl w:ilvl="0">
      <w:start w:val="3"/>
      <w:numFmt w:val="decimal"/>
      <w:lvlText w:val="%1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120" w:legacyIndent="1800"/>
      <w:lvlJc w:val="left"/>
      <w:pPr>
        <w:ind w:left="1800" w:hanging="1800"/>
      </w:pPr>
    </w:lvl>
  </w:abstractNum>
  <w:abstractNum w:abstractNumId="3" w15:restartNumberingAfterBreak="0">
    <w:nsid w:val="46724381"/>
    <w:multiLevelType w:val="multilevel"/>
    <w:tmpl w:val="D462444A"/>
    <w:lvl w:ilvl="0">
      <w:start w:val="3"/>
      <w:numFmt w:val="decimal"/>
      <w:lvlText w:val="%1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120" w:legacyIndent="1800"/>
      <w:lvlJc w:val="left"/>
      <w:pPr>
        <w:ind w:left="1800" w:hanging="1800"/>
      </w:pPr>
    </w:lvl>
  </w:abstractNum>
  <w:abstractNum w:abstractNumId="4" w15:restartNumberingAfterBreak="0">
    <w:nsid w:val="6F457233"/>
    <w:multiLevelType w:val="multilevel"/>
    <w:tmpl w:val="D462444A"/>
    <w:lvl w:ilvl="0">
      <w:start w:val="3"/>
      <w:numFmt w:val="decimal"/>
      <w:lvlText w:val="%1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120" w:legacyIndent="1800"/>
      <w:lvlJc w:val="left"/>
      <w:pPr>
        <w:ind w:left="1800" w:hanging="1800"/>
      </w:pPr>
    </w:lvl>
  </w:abstractNum>
  <w:num w:numId="1">
    <w:abstractNumId w:val="2"/>
  </w:num>
  <w:num w:numId="2">
    <w:abstractNumId w:val="0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717" w:hanging="360"/>
        </w:pPr>
        <w:rPr>
          <w:rFonts w:ascii="Wingdings" w:hAnsi="Wingdings" w:hint="default"/>
        </w:rPr>
      </w:lvl>
    </w:lvlOverride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intFractionalCharacterWidth/>
  <w:activeWritingStyle w:appName="MSWord" w:lang="de-DE" w:vendorID="64" w:dllVersion="131078" w:nlCheck="1" w:checkStyle="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styleLockQFSet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2B9"/>
    <w:rsid w:val="00026253"/>
    <w:rsid w:val="00032F56"/>
    <w:rsid w:val="00055758"/>
    <w:rsid w:val="00061F0B"/>
    <w:rsid w:val="000A1146"/>
    <w:rsid w:val="000B254A"/>
    <w:rsid w:val="000E2DC0"/>
    <w:rsid w:val="000F3D45"/>
    <w:rsid w:val="000F731B"/>
    <w:rsid w:val="00101F60"/>
    <w:rsid w:val="001034AF"/>
    <w:rsid w:val="0011112B"/>
    <w:rsid w:val="001115A9"/>
    <w:rsid w:val="0014415D"/>
    <w:rsid w:val="00151488"/>
    <w:rsid w:val="00163034"/>
    <w:rsid w:val="00164678"/>
    <w:rsid w:val="00165C0D"/>
    <w:rsid w:val="00181857"/>
    <w:rsid w:val="00184EDC"/>
    <w:rsid w:val="00194770"/>
    <w:rsid w:val="001A5F9B"/>
    <w:rsid w:val="001F7237"/>
    <w:rsid w:val="00290CFA"/>
    <w:rsid w:val="002924CB"/>
    <w:rsid w:val="002A20D1"/>
    <w:rsid w:val="002A4DE3"/>
    <w:rsid w:val="002B5955"/>
    <w:rsid w:val="002D18F0"/>
    <w:rsid w:val="002E11AC"/>
    <w:rsid w:val="002E3D77"/>
    <w:rsid w:val="00301702"/>
    <w:rsid w:val="0030686C"/>
    <w:rsid w:val="00322DDE"/>
    <w:rsid w:val="0034054E"/>
    <w:rsid w:val="00380937"/>
    <w:rsid w:val="00397717"/>
    <w:rsid w:val="003D6289"/>
    <w:rsid w:val="003D7B0B"/>
    <w:rsid w:val="003E0F4B"/>
    <w:rsid w:val="003E310D"/>
    <w:rsid w:val="003F0FAA"/>
    <w:rsid w:val="00406C53"/>
    <w:rsid w:val="00440F72"/>
    <w:rsid w:val="00470135"/>
    <w:rsid w:val="0047156C"/>
    <w:rsid w:val="0047606A"/>
    <w:rsid w:val="00483E48"/>
    <w:rsid w:val="00486F35"/>
    <w:rsid w:val="004908B5"/>
    <w:rsid w:val="0049121B"/>
    <w:rsid w:val="004A1688"/>
    <w:rsid w:val="004A64E8"/>
    <w:rsid w:val="004B6796"/>
    <w:rsid w:val="00501E3A"/>
    <w:rsid w:val="0052069C"/>
    <w:rsid w:val="005825A1"/>
    <w:rsid w:val="005A0A9D"/>
    <w:rsid w:val="005A56AA"/>
    <w:rsid w:val="005B5034"/>
    <w:rsid w:val="005D205C"/>
    <w:rsid w:val="005D52B9"/>
    <w:rsid w:val="005E19C6"/>
    <w:rsid w:val="005F5B3D"/>
    <w:rsid w:val="00606F80"/>
    <w:rsid w:val="00622CC7"/>
    <w:rsid w:val="00653070"/>
    <w:rsid w:val="00693679"/>
    <w:rsid w:val="006A061B"/>
    <w:rsid w:val="006A406B"/>
    <w:rsid w:val="006B6D50"/>
    <w:rsid w:val="006D070F"/>
    <w:rsid w:val="006E0575"/>
    <w:rsid w:val="006F4842"/>
    <w:rsid w:val="007134BC"/>
    <w:rsid w:val="007237FB"/>
    <w:rsid w:val="0072799A"/>
    <w:rsid w:val="00735E5B"/>
    <w:rsid w:val="00754659"/>
    <w:rsid w:val="00755D29"/>
    <w:rsid w:val="007A1939"/>
    <w:rsid w:val="007E3B79"/>
    <w:rsid w:val="007E54F6"/>
    <w:rsid w:val="008066EE"/>
    <w:rsid w:val="00817BB6"/>
    <w:rsid w:val="0083599B"/>
    <w:rsid w:val="0084447D"/>
    <w:rsid w:val="00880168"/>
    <w:rsid w:val="00884D6C"/>
    <w:rsid w:val="0089393F"/>
    <w:rsid w:val="008A1C60"/>
    <w:rsid w:val="008C0007"/>
    <w:rsid w:val="008D3F0E"/>
    <w:rsid w:val="00920F00"/>
    <w:rsid w:val="0092714F"/>
    <w:rsid w:val="009373F6"/>
    <w:rsid w:val="00946276"/>
    <w:rsid w:val="00946620"/>
    <w:rsid w:val="0096038F"/>
    <w:rsid w:val="00976588"/>
    <w:rsid w:val="00A27C89"/>
    <w:rsid w:val="00A27CA7"/>
    <w:rsid w:val="00A33E25"/>
    <w:rsid w:val="00A45B30"/>
    <w:rsid w:val="00A71D0A"/>
    <w:rsid w:val="00A72988"/>
    <w:rsid w:val="00A77F1E"/>
    <w:rsid w:val="00A847C4"/>
    <w:rsid w:val="00AB389D"/>
    <w:rsid w:val="00AD21A9"/>
    <w:rsid w:val="00AE7B02"/>
    <w:rsid w:val="00AF0DEA"/>
    <w:rsid w:val="00AF25E0"/>
    <w:rsid w:val="00B04290"/>
    <w:rsid w:val="00B75781"/>
    <w:rsid w:val="00B80DEF"/>
    <w:rsid w:val="00B86BB5"/>
    <w:rsid w:val="00B91903"/>
    <w:rsid w:val="00BC4669"/>
    <w:rsid w:val="00BD7264"/>
    <w:rsid w:val="00BE65A5"/>
    <w:rsid w:val="00C07C37"/>
    <w:rsid w:val="00C16EF1"/>
    <w:rsid w:val="00C2515B"/>
    <w:rsid w:val="00C26437"/>
    <w:rsid w:val="00C448D3"/>
    <w:rsid w:val="00C81010"/>
    <w:rsid w:val="00CD5067"/>
    <w:rsid w:val="00CF62E5"/>
    <w:rsid w:val="00D1256B"/>
    <w:rsid w:val="00D15DC3"/>
    <w:rsid w:val="00D46CFB"/>
    <w:rsid w:val="00D66D3A"/>
    <w:rsid w:val="00D743D4"/>
    <w:rsid w:val="00DB0418"/>
    <w:rsid w:val="00DB3D6C"/>
    <w:rsid w:val="00DE362D"/>
    <w:rsid w:val="00E014B6"/>
    <w:rsid w:val="00E1162F"/>
    <w:rsid w:val="00E11D5F"/>
    <w:rsid w:val="00E15C6D"/>
    <w:rsid w:val="00E20E1F"/>
    <w:rsid w:val="00E42F96"/>
    <w:rsid w:val="00E65650"/>
    <w:rsid w:val="00E7118F"/>
    <w:rsid w:val="00E94B42"/>
    <w:rsid w:val="00EA62EF"/>
    <w:rsid w:val="00EB663E"/>
    <w:rsid w:val="00F11A1D"/>
    <w:rsid w:val="00F27657"/>
    <w:rsid w:val="00F342DC"/>
    <w:rsid w:val="00F56F93"/>
    <w:rsid w:val="00F63041"/>
    <w:rsid w:val="00F76452"/>
    <w:rsid w:val="00FD6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3DE771"/>
  <w15:docId w15:val="{30CE6709-AC66-465B-88A7-2250ECE48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sz w:val="24"/>
        <w:szCs w:val="24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F3D45"/>
    <w:pPr>
      <w:jc w:val="both"/>
    </w:pPr>
    <w:rPr>
      <w:rFonts w:cs="Arial"/>
    </w:rPr>
  </w:style>
  <w:style w:type="paragraph" w:styleId="berschrift1">
    <w:name w:val="heading 1"/>
    <w:basedOn w:val="Standard"/>
    <w:next w:val="Standard"/>
    <w:qFormat/>
    <w:rsid w:val="00DB3D6C"/>
    <w:pPr>
      <w:keepNext/>
      <w:spacing w:before="480"/>
      <w:ind w:left="284" w:hanging="284"/>
      <w:outlineLvl w:val="0"/>
    </w:pPr>
    <w:rPr>
      <w:b/>
      <w:u w:val="single"/>
    </w:rPr>
  </w:style>
  <w:style w:type="paragraph" w:styleId="berschrift2">
    <w:name w:val="heading 2"/>
    <w:basedOn w:val="Standard"/>
    <w:next w:val="Standard"/>
    <w:qFormat/>
    <w:rsid w:val="00DB3D6C"/>
    <w:pPr>
      <w:keepNext/>
      <w:ind w:left="482" w:hanging="482"/>
      <w:outlineLvl w:val="1"/>
    </w:pPr>
    <w:rPr>
      <w:b/>
    </w:rPr>
  </w:style>
  <w:style w:type="paragraph" w:styleId="berschrift3">
    <w:name w:val="heading 3"/>
    <w:basedOn w:val="Standard"/>
    <w:next w:val="Standard"/>
    <w:qFormat/>
    <w:rsid w:val="00A847C4"/>
    <w:pPr>
      <w:keepNext/>
      <w:spacing w:after="60"/>
      <w:outlineLvl w:val="2"/>
    </w:pPr>
    <w:rPr>
      <w:b/>
    </w:rPr>
  </w:style>
  <w:style w:type="paragraph" w:styleId="berschrift4">
    <w:name w:val="heading 4"/>
    <w:basedOn w:val="Standard"/>
    <w:next w:val="Standard"/>
    <w:qFormat/>
    <w:rsid w:val="00A847C4"/>
    <w:pPr>
      <w:keepNext/>
      <w:ind w:left="72"/>
      <w:jc w:val="center"/>
      <w:outlineLvl w:val="3"/>
    </w:pPr>
    <w:rPr>
      <w:b/>
      <w:sz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rsid w:val="00A847C4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rsid w:val="00A847C4"/>
    <w:pPr>
      <w:tabs>
        <w:tab w:val="center" w:pos="4819"/>
        <w:tab w:val="right" w:pos="9071"/>
      </w:tabs>
    </w:pPr>
  </w:style>
  <w:style w:type="character" w:styleId="Seitenzahl">
    <w:name w:val="page number"/>
    <w:basedOn w:val="Absatz-Standardschriftart"/>
    <w:rsid w:val="00165C0D"/>
    <w:rPr>
      <w:rFonts w:ascii="Arial" w:hAnsi="Arial"/>
      <w:sz w:val="24"/>
    </w:rPr>
  </w:style>
  <w:style w:type="table" w:styleId="Gitternetztabelle2">
    <w:name w:val="Grid Table 2"/>
    <w:basedOn w:val="NormaleTabelle"/>
    <w:uiPriority w:val="47"/>
    <w:rsid w:val="00101F60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Kommentarzeichen">
    <w:name w:val="annotation reference"/>
    <w:basedOn w:val="Absatz-Standardschriftart"/>
    <w:semiHidden/>
    <w:unhideWhenUsed/>
    <w:rsid w:val="00BE65A5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BE65A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BE65A5"/>
    <w:rPr>
      <w:rFonts w:cs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BE65A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BE65A5"/>
    <w:rPr>
      <w:rFonts w:cs="Arial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semiHidden/>
    <w:unhideWhenUsed/>
    <w:rsid w:val="00BE65A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BE65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560543-978F-45B1-8AF2-DC181396F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442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Mustervorlage Stellenschaffung zum Stellenplan</vt:lpstr>
    </vt:vector>
  </TitlesOfParts>
  <Company>Landeshauptstadt Stuttgart</Company>
  <LinksUpToDate>false</LinksUpToDate>
  <CharactersWithSpaces>3592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Mustervorlage Stellenschaffung zum Stellenplan</dc:title>
  <dc:subject/>
  <dc:creator>René Hahn</dc:creator>
  <cp:lastModifiedBy>Baumann, Gerhard</cp:lastModifiedBy>
  <cp:revision>6</cp:revision>
  <cp:lastPrinted>2023-09-29T11:10:00Z</cp:lastPrinted>
  <dcterms:created xsi:type="dcterms:W3CDTF">2023-09-21T08:54:00Z</dcterms:created>
  <dcterms:modified xsi:type="dcterms:W3CDTF">2023-10-18T08:37:00Z</dcterms:modified>
</cp:coreProperties>
</file>