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513A06">
        <w:t>43</w:t>
      </w:r>
      <w:r w:rsidRPr="006E0575">
        <w:t xml:space="preserve"> zur </w:t>
      </w:r>
      <w:proofErr w:type="spellStart"/>
      <w:r w:rsidRPr="006E0575">
        <w:t>GRDrs</w:t>
      </w:r>
      <w:proofErr w:type="spellEnd"/>
      <w:r w:rsidRPr="006E0575">
        <w:t xml:space="preserve"> </w:t>
      </w:r>
      <w:r w:rsidR="00F82144">
        <w:t>889</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F82144">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F82144" w:rsidP="0030686C">
            <w:pPr>
              <w:rPr>
                <w:sz w:val="20"/>
              </w:rPr>
            </w:pPr>
            <w:r>
              <w:rPr>
                <w:sz w:val="20"/>
              </w:rPr>
              <w:t>63-6</w:t>
            </w:r>
          </w:p>
          <w:p w:rsidR="0011112B" w:rsidRDefault="0011112B" w:rsidP="0030686C">
            <w:pPr>
              <w:rPr>
                <w:sz w:val="20"/>
              </w:rPr>
            </w:pPr>
          </w:p>
          <w:p w:rsidR="0011112B" w:rsidRDefault="00F82144" w:rsidP="0030686C">
            <w:pPr>
              <w:rPr>
                <w:sz w:val="20"/>
              </w:rPr>
            </w:pPr>
            <w:r>
              <w:rPr>
                <w:sz w:val="20"/>
              </w:rPr>
              <w:t>63605010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F82144" w:rsidP="0030686C">
            <w:pPr>
              <w:rPr>
                <w:sz w:val="20"/>
              </w:rPr>
            </w:pPr>
            <w:r>
              <w:rPr>
                <w:sz w:val="20"/>
              </w:rPr>
              <w:t xml:space="preserve">Baurechtsamt </w:t>
            </w:r>
          </w:p>
        </w:tc>
        <w:tc>
          <w:tcPr>
            <w:tcW w:w="794" w:type="dxa"/>
          </w:tcPr>
          <w:p w:rsidR="005F5B3D" w:rsidRDefault="005F5B3D" w:rsidP="0030686C">
            <w:pPr>
              <w:rPr>
                <w:sz w:val="20"/>
              </w:rPr>
            </w:pPr>
          </w:p>
          <w:p w:rsidR="005F5B3D" w:rsidRPr="006E0575" w:rsidRDefault="00F82144" w:rsidP="0030686C">
            <w:pPr>
              <w:rPr>
                <w:sz w:val="20"/>
              </w:rPr>
            </w:pPr>
            <w:r>
              <w:rPr>
                <w:sz w:val="20"/>
              </w:rPr>
              <w:t>A 11</w:t>
            </w:r>
          </w:p>
        </w:tc>
        <w:tc>
          <w:tcPr>
            <w:tcW w:w="1928" w:type="dxa"/>
          </w:tcPr>
          <w:p w:rsidR="005F5B3D" w:rsidRDefault="005F5B3D" w:rsidP="0030686C">
            <w:pPr>
              <w:rPr>
                <w:sz w:val="20"/>
              </w:rPr>
            </w:pPr>
          </w:p>
          <w:p w:rsidR="005F5B3D" w:rsidRPr="006E0575" w:rsidRDefault="00F82144" w:rsidP="0030686C">
            <w:pPr>
              <w:rPr>
                <w:sz w:val="20"/>
              </w:rPr>
            </w:pPr>
            <w:r>
              <w:rPr>
                <w:sz w:val="20"/>
              </w:rPr>
              <w:t>Baurechts</w:t>
            </w:r>
            <w:r w:rsidR="00CF1D15">
              <w:rPr>
                <w:sz w:val="20"/>
              </w:rPr>
              <w:softHyphen/>
              <w:t>sachbe</w:t>
            </w:r>
            <w:r>
              <w:rPr>
                <w:sz w:val="20"/>
              </w:rPr>
              <w:t>arbeiter/-in</w:t>
            </w:r>
          </w:p>
        </w:tc>
        <w:tc>
          <w:tcPr>
            <w:tcW w:w="737" w:type="dxa"/>
            <w:shd w:val="pct12" w:color="auto" w:fill="FFFFFF"/>
          </w:tcPr>
          <w:p w:rsidR="005F5B3D" w:rsidRDefault="005F5B3D" w:rsidP="0030686C">
            <w:pPr>
              <w:rPr>
                <w:sz w:val="20"/>
              </w:rPr>
            </w:pPr>
          </w:p>
          <w:p w:rsidR="005F5B3D" w:rsidRPr="006E0575" w:rsidRDefault="00F82144" w:rsidP="0030686C">
            <w:pPr>
              <w:rPr>
                <w:sz w:val="20"/>
              </w:rPr>
            </w:pPr>
            <w:r>
              <w:rPr>
                <w:sz w:val="20"/>
              </w:rPr>
              <w:t>0,5</w:t>
            </w:r>
          </w:p>
        </w:tc>
        <w:tc>
          <w:tcPr>
            <w:tcW w:w="1134" w:type="dxa"/>
          </w:tcPr>
          <w:p w:rsidR="005F5B3D" w:rsidRDefault="005F5B3D" w:rsidP="0030686C">
            <w:pPr>
              <w:rPr>
                <w:sz w:val="20"/>
              </w:rPr>
            </w:pPr>
          </w:p>
          <w:p w:rsidR="005F5B3D" w:rsidRPr="006E0575" w:rsidRDefault="00513A06" w:rsidP="0030686C">
            <w:pPr>
              <w:rPr>
                <w:sz w:val="20"/>
              </w:rPr>
            </w:pPr>
            <w:r>
              <w:rPr>
                <w:sz w:val="20"/>
              </w:rPr>
              <w:t>KW</w:t>
            </w:r>
            <w:r w:rsidR="00F82144">
              <w:rPr>
                <w:sz w:val="20"/>
              </w:rPr>
              <w:t xml:space="preserve"> 01/</w:t>
            </w:r>
            <w:r>
              <w:rPr>
                <w:sz w:val="20"/>
              </w:rPr>
              <w:t>20</w:t>
            </w:r>
            <w:r w:rsidR="00F82144">
              <w:rPr>
                <w:sz w:val="20"/>
              </w:rPr>
              <w:t>22</w:t>
            </w:r>
          </w:p>
        </w:tc>
        <w:tc>
          <w:tcPr>
            <w:tcW w:w="1417" w:type="dxa"/>
          </w:tcPr>
          <w:p w:rsidR="005F5B3D" w:rsidRDefault="005F5B3D" w:rsidP="0030686C">
            <w:pPr>
              <w:rPr>
                <w:sz w:val="20"/>
              </w:rPr>
            </w:pPr>
          </w:p>
          <w:p w:rsidR="005F5B3D" w:rsidRPr="006E0575" w:rsidRDefault="00513A06" w:rsidP="00513A06">
            <w:pPr>
              <w:jc w:val="right"/>
              <w:rPr>
                <w:sz w:val="20"/>
              </w:rPr>
            </w:pPr>
            <w:r>
              <w:rPr>
                <w:sz w:val="20"/>
              </w:rPr>
              <w:t>47.150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F82144" w:rsidRDefault="00F82144" w:rsidP="00F82144">
      <w:r>
        <w:t xml:space="preserve">Beantragt wird ein zusätzlicher </w:t>
      </w:r>
      <w:r w:rsidR="00CF1D15">
        <w:t>0,5-</w:t>
      </w:r>
      <w:r>
        <w:t>Stellenanteil des gehobenen nichttechnischen Verwaltungsdienstes für das Sachgebiet Sonderbauten der Baukontrolle.</w:t>
      </w:r>
    </w:p>
    <w:p w:rsidR="003D7B0B" w:rsidRDefault="003D7B0B" w:rsidP="00884D6C">
      <w:pPr>
        <w:pStyle w:val="berschrift1"/>
      </w:pPr>
      <w:r>
        <w:t>2</w:t>
      </w:r>
      <w:r>
        <w:tab/>
        <w:t>Schaffun</w:t>
      </w:r>
      <w:r w:rsidRPr="00884D6C">
        <w:rPr>
          <w:u w:val="none"/>
        </w:rPr>
        <w:t>g</w:t>
      </w:r>
      <w:r>
        <w:t>skriterien</w:t>
      </w:r>
    </w:p>
    <w:p w:rsidR="003D7B0B" w:rsidRDefault="003D7B0B" w:rsidP="00884D6C"/>
    <w:p w:rsidR="00513A06" w:rsidRDefault="00513A06" w:rsidP="00F82144">
      <w:r>
        <w:t>Es liegt eine erhebliche Arbeitsvermehrung vor. Darüber hinaus ist die Schaffung der Stelle über Gebühreneinnahmen gedeckt und somit haushaltsneutral.</w:t>
      </w:r>
    </w:p>
    <w:p w:rsidR="00F82144" w:rsidRDefault="00F82144" w:rsidP="00F82144">
      <w:r>
        <w:t>Die Gebühren des Sachgebiets werden kostendeckend kalkuliert, die tatsächliche Kostendeckung wird jedes Jahr nachgewiesen.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F82144" w:rsidRDefault="00F82144" w:rsidP="00F82144">
      <w:r>
        <w:t>Das Sachgebiet Sonderbauten nimmt die gesetzlich vorgeschriebenen wiederkehrenden Prüfungen von Sonderbauten vor, insbesondere die Brandverhütungsschauen nach der Verwaltungsvorschrift BVS. Dabei ergeben sich häufig Abweichungen des vor Ort vorhandenen vom genehmigten Zustand oder bauliche Zustände von den heute geltenden brandschutztechnischen Standards.</w:t>
      </w:r>
    </w:p>
    <w:p w:rsidR="00F82144" w:rsidRDefault="00F82144" w:rsidP="00F82144"/>
    <w:p w:rsidR="00F82144" w:rsidRDefault="00F82144" w:rsidP="00F82144">
      <w:r>
        <w:t xml:space="preserve">Es ist dann jeweils rechtlich zu prüfen, ob und welche baurechtlichen </w:t>
      </w:r>
      <w:r w:rsidR="00513A06">
        <w:t>M</w:t>
      </w:r>
      <w:r>
        <w:t>aßnahmen erforderlich und angemessen sind, ob und inwieweit ein etwaiger Bestandsschutz einer Nachforderung entgegensteht, ob Sofortmaßnahmen (z. B. Nutzungseinschränkungen oder Interimslösungen für Rettungstreppen) erforderlich sind und ob die Nachforderungen unterhalb der Schwelle eines Genehmigungsverfahrens abgebildet werden können. Für diese Prüfung sind vertiefte verwaltungsrechtliche Kenntnisse erforderlich.</w:t>
      </w:r>
    </w:p>
    <w:p w:rsidR="006E0575" w:rsidRPr="006E0575" w:rsidRDefault="006E0575" w:rsidP="00884D6C"/>
    <w:p w:rsidR="003D7B0B" w:rsidRPr="00165C0D" w:rsidRDefault="003D7B0B" w:rsidP="00165C0D">
      <w:pPr>
        <w:pStyle w:val="berschrift2"/>
      </w:pPr>
      <w:r w:rsidRPr="00165C0D">
        <w:lastRenderedPageBreak/>
        <w:t>3.2</w:t>
      </w:r>
      <w:r w:rsidRPr="00165C0D">
        <w:tab/>
        <w:t>Bisherige Aufgabenwahrnehmung</w:t>
      </w:r>
    </w:p>
    <w:p w:rsidR="003D7B0B" w:rsidRDefault="003D7B0B" w:rsidP="00884D6C"/>
    <w:p w:rsidR="00F82144" w:rsidRDefault="00F82144" w:rsidP="00F82144">
      <w:r>
        <w:t>Bislang werden häufig in den ersten Besichtigungsprotokollen keine hinreichenden Unterscheidungen zwischen Zuständen getroffen, die in verwaltungsrechtlicher Sicht zu abstrakten oder zu konkreten Gefahren führen</w:t>
      </w:r>
      <w:r w:rsidR="00513A06">
        <w:t>.</w:t>
      </w:r>
      <w:r>
        <w:t xml:space="preserve"> </w:t>
      </w:r>
      <w:r w:rsidR="00513A06">
        <w:t>Bei abstrakten Gefahren dürfen</w:t>
      </w:r>
      <w:r>
        <w:t xml:space="preserve"> bei bestandsgeschützten Anlagen Nachrüstungen nur empfohlen werden</w:t>
      </w:r>
      <w:r w:rsidR="00513A06">
        <w:t>.</w:t>
      </w:r>
      <w:r>
        <w:t xml:space="preserve"> </w:t>
      </w:r>
      <w:r w:rsidR="00513A06">
        <w:t>B</w:t>
      </w:r>
      <w:r>
        <w:t xml:space="preserve">ei konkreten Gefahren </w:t>
      </w:r>
      <w:r w:rsidR="00513A06">
        <w:t xml:space="preserve">müssen </w:t>
      </w:r>
      <w:r>
        <w:t>Nachbesserungen regelmäßig gefordert werden</w:t>
      </w:r>
      <w:r w:rsidR="00513A06">
        <w:t>.</w:t>
      </w:r>
    </w:p>
    <w:p w:rsidR="00F82144" w:rsidRDefault="00F82144" w:rsidP="00F82144"/>
    <w:p w:rsidR="00F82144" w:rsidRDefault="00F82144" w:rsidP="00F82144">
      <w:r>
        <w:t xml:space="preserve">Dies führt zu längeren Schriftwechseln und Auseinandersetzungen oder zu an sich vermeidbaren Investitionen bei den Eigentümern. Durch die </w:t>
      </w:r>
      <w:r w:rsidR="00513A06">
        <w:t>beantragte</w:t>
      </w:r>
      <w:r>
        <w:t xml:space="preserve"> Stelle können hier nicht erforderliche Belastungen der Eigentümer vermieden werden.</w:t>
      </w:r>
    </w:p>
    <w:p w:rsidR="00F82144" w:rsidRDefault="00F82144" w:rsidP="00F82144"/>
    <w:p w:rsidR="003D7B0B" w:rsidRDefault="006E0575" w:rsidP="00884D6C">
      <w:pPr>
        <w:pStyle w:val="berschrift2"/>
      </w:pPr>
      <w:r>
        <w:t>3.3</w:t>
      </w:r>
      <w:r w:rsidR="003D7B0B">
        <w:tab/>
        <w:t>Auswirkungen bei Ablehnung der Stellenschaffungen</w:t>
      </w:r>
    </w:p>
    <w:p w:rsidR="003D7B0B" w:rsidRDefault="003D7B0B" w:rsidP="00884D6C"/>
    <w:p w:rsidR="00F82144" w:rsidRDefault="00F82144" w:rsidP="00F82144">
      <w:r>
        <w:t>Für die zwingend erforderlichen verwaltungsrechtlichen Fachkenntnisse müss</w:t>
      </w:r>
      <w:r w:rsidR="00513A06">
        <w:t>t</w:t>
      </w:r>
      <w:r>
        <w:t>en Personalkapazitäten aus den Technikerstellen des Sachgebiets herausgelöst werden, was zu einem niedrigeren Erfüllungs</w:t>
      </w:r>
      <w:r w:rsidR="00606E9F">
        <w:t>g</w:t>
      </w:r>
      <w:bookmarkStart w:id="0" w:name="_GoBack"/>
      <w:bookmarkEnd w:id="0"/>
      <w:r>
        <w:t xml:space="preserve">rad führen würde. </w:t>
      </w:r>
      <w:r w:rsidR="00513A06">
        <w:t xml:space="preserve">Bei </w:t>
      </w:r>
      <w:r>
        <w:t>Ablehnung der Stellenschaffung könn</w:t>
      </w:r>
      <w:r w:rsidR="00513A06">
        <w:t>t</w:t>
      </w:r>
      <w:r>
        <w:t>en nicht alle sicherheitsrelevanten Defizite weiterverfolgt werden (Anordnungen, Nutzungsuntersagungen, etc.), wodurch ein Organisationsverschulden entstehen kann.</w:t>
      </w:r>
    </w:p>
    <w:p w:rsidR="003D7B0B" w:rsidRDefault="00884D6C" w:rsidP="00884D6C">
      <w:pPr>
        <w:pStyle w:val="berschrift1"/>
      </w:pPr>
      <w:r>
        <w:t>4</w:t>
      </w:r>
      <w:r>
        <w:tab/>
      </w:r>
      <w:r w:rsidR="003D7B0B">
        <w:t>Stellenvermerke</w:t>
      </w:r>
    </w:p>
    <w:p w:rsidR="003D7B0B" w:rsidRDefault="003D7B0B" w:rsidP="00884D6C"/>
    <w:p w:rsidR="00DE362D" w:rsidRDefault="00513A06"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225D" w:rsidRDefault="00D8225D">
      <w:r>
        <w:separator/>
      </w:r>
    </w:p>
  </w:endnote>
  <w:endnote w:type="continuationSeparator" w:id="0">
    <w:p w:rsidR="00D8225D" w:rsidRDefault="00D82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225D" w:rsidRDefault="00D8225D">
      <w:r>
        <w:separator/>
      </w:r>
    </w:p>
  </w:footnote>
  <w:footnote w:type="continuationSeparator" w:id="0">
    <w:p w:rsidR="00D8225D" w:rsidRDefault="00D82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606E9F">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25D"/>
    <w:rsid w:val="00055758"/>
    <w:rsid w:val="000A1146"/>
    <w:rsid w:val="001034AF"/>
    <w:rsid w:val="0011112B"/>
    <w:rsid w:val="0014415D"/>
    <w:rsid w:val="00151488"/>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7B0B"/>
    <w:rsid w:val="003F0FAA"/>
    <w:rsid w:val="00470135"/>
    <w:rsid w:val="0047606A"/>
    <w:rsid w:val="004908B5"/>
    <w:rsid w:val="0049121B"/>
    <w:rsid w:val="004A1688"/>
    <w:rsid w:val="004B6796"/>
    <w:rsid w:val="00513A06"/>
    <w:rsid w:val="00577A23"/>
    <w:rsid w:val="005A0A9D"/>
    <w:rsid w:val="005A56AA"/>
    <w:rsid w:val="005E19C6"/>
    <w:rsid w:val="005F5B3D"/>
    <w:rsid w:val="00606E9F"/>
    <w:rsid w:val="00606F80"/>
    <w:rsid w:val="00622CC7"/>
    <w:rsid w:val="006A406B"/>
    <w:rsid w:val="006B6D50"/>
    <w:rsid w:val="006E0575"/>
    <w:rsid w:val="0072799A"/>
    <w:rsid w:val="00754659"/>
    <w:rsid w:val="007E3B79"/>
    <w:rsid w:val="008066EE"/>
    <w:rsid w:val="00817BB6"/>
    <w:rsid w:val="00884D6C"/>
    <w:rsid w:val="00920F00"/>
    <w:rsid w:val="009373F6"/>
    <w:rsid w:val="00976588"/>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1D15"/>
    <w:rsid w:val="00CF62E5"/>
    <w:rsid w:val="00D66D3A"/>
    <w:rsid w:val="00D743D4"/>
    <w:rsid w:val="00D8225D"/>
    <w:rsid w:val="00DB3D6C"/>
    <w:rsid w:val="00DE362D"/>
    <w:rsid w:val="00E014B6"/>
    <w:rsid w:val="00E1162F"/>
    <w:rsid w:val="00E11D5F"/>
    <w:rsid w:val="00E20E1F"/>
    <w:rsid w:val="00E42F96"/>
    <w:rsid w:val="00E7118F"/>
    <w:rsid w:val="00F27657"/>
    <w:rsid w:val="00F342DC"/>
    <w:rsid w:val="00F56F93"/>
    <w:rsid w:val="00F63041"/>
    <w:rsid w:val="00F76452"/>
    <w:rsid w:val="00F82144"/>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4D373"/>
  <w15:docId w15:val="{381E653A-AFC6-4CCA-ADD2-B2A9C984E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317</Words>
  <Characters>2516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6</cp:revision>
  <cp:lastPrinted>2019-09-26T17:16:00Z</cp:lastPrinted>
  <dcterms:created xsi:type="dcterms:W3CDTF">2019-08-28T10:37:00Z</dcterms:created>
  <dcterms:modified xsi:type="dcterms:W3CDTF">2019-09-26T17:17:00Z</dcterms:modified>
</cp:coreProperties>
</file>