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A20FA1">
        <w:rPr>
          <w:szCs w:val="24"/>
        </w:rPr>
        <w:t xml:space="preserve">9 zur </w:t>
      </w:r>
      <w:proofErr w:type="spellStart"/>
      <w:r w:rsidRPr="006E0575">
        <w:rPr>
          <w:szCs w:val="24"/>
        </w:rPr>
        <w:t>GRDrs</w:t>
      </w:r>
      <w:proofErr w:type="spellEnd"/>
      <w:r w:rsidRPr="006E0575">
        <w:rPr>
          <w:szCs w:val="24"/>
        </w:rPr>
        <w:t xml:space="preserve"> </w:t>
      </w:r>
      <w:r w:rsidR="00A20FA1">
        <w:rPr>
          <w:szCs w:val="24"/>
        </w:rPr>
        <w:t>827/2017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A20FA1" w:rsidRDefault="00A20FA1"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B64B37" w:rsidRDefault="00B64B37" w:rsidP="00B64B37">
            <w:pPr>
              <w:rPr>
                <w:sz w:val="20"/>
              </w:rPr>
            </w:pPr>
            <w:r>
              <w:rPr>
                <w:sz w:val="20"/>
              </w:rPr>
              <w:t>L/OB-R</w:t>
            </w:r>
          </w:p>
          <w:p w:rsidR="00B64B37" w:rsidRDefault="00B64B37" w:rsidP="00B64B37">
            <w:pPr>
              <w:rPr>
                <w:sz w:val="20"/>
              </w:rPr>
            </w:pPr>
          </w:p>
          <w:p w:rsidR="005F5B3D" w:rsidRDefault="00B64B37" w:rsidP="00B64B37">
            <w:pPr>
              <w:rPr>
                <w:sz w:val="20"/>
              </w:rPr>
            </w:pPr>
            <w:r>
              <w:rPr>
                <w:sz w:val="20"/>
              </w:rPr>
              <w:t>8001</w:t>
            </w:r>
            <w:r w:rsidRPr="00B64B37">
              <w:rPr>
                <w:sz w:val="20"/>
              </w:rPr>
              <w:t>1200</w:t>
            </w:r>
          </w:p>
          <w:p w:rsidR="00B64B37" w:rsidRPr="006E0575" w:rsidRDefault="00B64B37" w:rsidP="00B64B37">
            <w:pPr>
              <w:rPr>
                <w:sz w:val="20"/>
              </w:rPr>
            </w:pPr>
          </w:p>
        </w:tc>
        <w:tc>
          <w:tcPr>
            <w:tcW w:w="1701" w:type="dxa"/>
          </w:tcPr>
          <w:p w:rsidR="005F5B3D" w:rsidRDefault="005F5B3D" w:rsidP="006E0575">
            <w:pPr>
              <w:rPr>
                <w:sz w:val="20"/>
              </w:rPr>
            </w:pPr>
          </w:p>
          <w:p w:rsidR="005F5B3D" w:rsidRPr="006E0575" w:rsidRDefault="00B64B37" w:rsidP="00B64B37">
            <w:pPr>
              <w:rPr>
                <w:sz w:val="20"/>
              </w:rPr>
            </w:pPr>
            <w:r>
              <w:rPr>
                <w:noProof/>
                <w:sz w:val="20"/>
              </w:rPr>
              <w:t>BMA - Referat Verwaltungsko-</w:t>
            </w:r>
            <w:r>
              <w:rPr>
                <w:noProof/>
                <w:sz w:val="20"/>
              </w:rPr>
              <w:br/>
              <w:t>ordination, Kom-munikation u. Internationales</w:t>
            </w:r>
          </w:p>
        </w:tc>
        <w:tc>
          <w:tcPr>
            <w:tcW w:w="794" w:type="dxa"/>
          </w:tcPr>
          <w:p w:rsidR="005F5B3D" w:rsidRDefault="005F5B3D" w:rsidP="008A6853">
            <w:pPr>
              <w:rPr>
                <w:sz w:val="20"/>
              </w:rPr>
            </w:pPr>
          </w:p>
          <w:p w:rsidR="005F5B3D" w:rsidRDefault="00B64B37" w:rsidP="008A6853">
            <w:pPr>
              <w:rPr>
                <w:sz w:val="20"/>
              </w:rPr>
            </w:pPr>
            <w:r>
              <w:rPr>
                <w:sz w:val="20"/>
              </w:rPr>
              <w:t xml:space="preserve">A 14 </w:t>
            </w:r>
            <w:r>
              <w:rPr>
                <w:sz w:val="20"/>
              </w:rPr>
              <w:br/>
            </w:r>
          </w:p>
          <w:p w:rsidR="00C1181E" w:rsidRDefault="00C1181E" w:rsidP="008A6853">
            <w:pPr>
              <w:rPr>
                <w:sz w:val="20"/>
              </w:rPr>
            </w:pPr>
          </w:p>
          <w:p w:rsidR="006D5F9A" w:rsidRDefault="006D5F9A" w:rsidP="008A6853">
            <w:pPr>
              <w:rPr>
                <w:sz w:val="20"/>
              </w:rPr>
            </w:pPr>
          </w:p>
          <w:p w:rsidR="00C1181E" w:rsidRPr="006E0575" w:rsidRDefault="00C1181E" w:rsidP="008A6853">
            <w:pPr>
              <w:rPr>
                <w:sz w:val="20"/>
              </w:rPr>
            </w:pPr>
            <w:r>
              <w:rPr>
                <w:sz w:val="20"/>
              </w:rPr>
              <w:t xml:space="preserve">EG 6 </w:t>
            </w:r>
          </w:p>
        </w:tc>
        <w:tc>
          <w:tcPr>
            <w:tcW w:w="1928" w:type="dxa"/>
          </w:tcPr>
          <w:p w:rsidR="005F5B3D" w:rsidRDefault="005F5B3D" w:rsidP="006E0575">
            <w:pPr>
              <w:rPr>
                <w:sz w:val="20"/>
              </w:rPr>
            </w:pPr>
          </w:p>
          <w:p w:rsidR="005F5B3D" w:rsidRDefault="00B64B37" w:rsidP="00B64B37">
            <w:pPr>
              <w:rPr>
                <w:sz w:val="20"/>
              </w:rPr>
            </w:pPr>
            <w:r>
              <w:rPr>
                <w:sz w:val="20"/>
              </w:rPr>
              <w:t xml:space="preserve">Juristische/r </w:t>
            </w:r>
            <w:r>
              <w:rPr>
                <w:sz w:val="20"/>
              </w:rPr>
              <w:br/>
              <w:t>Sachbearbeiter/in</w:t>
            </w:r>
            <w:r>
              <w:rPr>
                <w:sz w:val="20"/>
              </w:rPr>
              <w:br/>
            </w:r>
          </w:p>
          <w:p w:rsidR="00C1181E" w:rsidRDefault="00C1181E" w:rsidP="00B64B37">
            <w:pPr>
              <w:rPr>
                <w:sz w:val="20"/>
              </w:rPr>
            </w:pPr>
          </w:p>
          <w:p w:rsidR="00C1181E" w:rsidRPr="006E0575" w:rsidRDefault="00C1181E" w:rsidP="00B64B37">
            <w:pPr>
              <w:rPr>
                <w:sz w:val="20"/>
              </w:rPr>
            </w:pPr>
            <w:r>
              <w:rPr>
                <w:sz w:val="20"/>
              </w:rPr>
              <w:t>Sekretariat</w:t>
            </w:r>
          </w:p>
        </w:tc>
        <w:tc>
          <w:tcPr>
            <w:tcW w:w="737" w:type="dxa"/>
            <w:shd w:val="pct12" w:color="auto" w:fill="FFFFFF"/>
          </w:tcPr>
          <w:p w:rsidR="005F5B3D" w:rsidRDefault="005F5B3D" w:rsidP="00A20FA1">
            <w:pPr>
              <w:jc w:val="center"/>
              <w:rPr>
                <w:sz w:val="20"/>
              </w:rPr>
            </w:pPr>
          </w:p>
          <w:p w:rsidR="005F5B3D" w:rsidRDefault="00B64B37" w:rsidP="00A20FA1">
            <w:pPr>
              <w:jc w:val="center"/>
              <w:rPr>
                <w:sz w:val="20"/>
              </w:rPr>
            </w:pPr>
            <w:r>
              <w:rPr>
                <w:sz w:val="20"/>
              </w:rPr>
              <w:t>1</w:t>
            </w:r>
            <w:r w:rsidR="00C1181E">
              <w:rPr>
                <w:sz w:val="20"/>
              </w:rPr>
              <w:t>,</w:t>
            </w:r>
            <w:r w:rsidR="006D5F9A">
              <w:rPr>
                <w:sz w:val="20"/>
              </w:rPr>
              <w:t>0</w:t>
            </w:r>
          </w:p>
          <w:p w:rsidR="00C1181E" w:rsidRDefault="00C1181E" w:rsidP="00A20FA1">
            <w:pPr>
              <w:jc w:val="center"/>
              <w:rPr>
                <w:sz w:val="20"/>
              </w:rPr>
            </w:pPr>
          </w:p>
          <w:p w:rsidR="00C1181E" w:rsidRDefault="00C1181E" w:rsidP="00A20FA1">
            <w:pPr>
              <w:jc w:val="center"/>
              <w:rPr>
                <w:sz w:val="20"/>
              </w:rPr>
            </w:pPr>
          </w:p>
          <w:p w:rsidR="00C1181E" w:rsidRDefault="00C1181E" w:rsidP="00A20FA1">
            <w:pPr>
              <w:jc w:val="center"/>
              <w:rPr>
                <w:sz w:val="20"/>
              </w:rPr>
            </w:pPr>
          </w:p>
          <w:p w:rsidR="00C1181E" w:rsidRPr="006E0575" w:rsidRDefault="00C1181E" w:rsidP="00A20FA1">
            <w:pPr>
              <w:jc w:val="center"/>
              <w:rPr>
                <w:sz w:val="20"/>
              </w:rPr>
            </w:pPr>
            <w:r>
              <w:rPr>
                <w:sz w:val="20"/>
              </w:rPr>
              <w:t>0,5</w:t>
            </w:r>
          </w:p>
        </w:tc>
        <w:tc>
          <w:tcPr>
            <w:tcW w:w="1134" w:type="dxa"/>
          </w:tcPr>
          <w:p w:rsidR="005F5B3D" w:rsidRDefault="005F5B3D" w:rsidP="008A6853">
            <w:pPr>
              <w:rPr>
                <w:sz w:val="20"/>
              </w:rPr>
            </w:pPr>
          </w:p>
          <w:p w:rsidR="005F5B3D" w:rsidRDefault="00A20FA1" w:rsidP="00A20FA1">
            <w:pPr>
              <w:jc w:val="center"/>
              <w:rPr>
                <w:sz w:val="20"/>
              </w:rPr>
            </w:pPr>
            <w:r>
              <w:rPr>
                <w:sz w:val="20"/>
              </w:rPr>
              <w:t>--</w:t>
            </w:r>
          </w:p>
          <w:p w:rsidR="00A20FA1" w:rsidRDefault="00A20FA1" w:rsidP="00A20FA1">
            <w:pPr>
              <w:jc w:val="center"/>
              <w:rPr>
                <w:sz w:val="20"/>
              </w:rPr>
            </w:pPr>
          </w:p>
          <w:p w:rsidR="00A20FA1" w:rsidRDefault="00A20FA1" w:rsidP="00A20FA1">
            <w:pPr>
              <w:jc w:val="center"/>
              <w:rPr>
                <w:sz w:val="20"/>
              </w:rPr>
            </w:pPr>
          </w:p>
          <w:p w:rsidR="00A20FA1" w:rsidRDefault="00A20FA1" w:rsidP="00A20FA1">
            <w:pPr>
              <w:jc w:val="center"/>
              <w:rPr>
                <w:sz w:val="20"/>
              </w:rPr>
            </w:pPr>
          </w:p>
          <w:p w:rsidR="00A20FA1" w:rsidRPr="006E0575" w:rsidRDefault="00A20FA1" w:rsidP="00A20FA1">
            <w:pPr>
              <w:jc w:val="center"/>
              <w:rPr>
                <w:sz w:val="20"/>
              </w:rPr>
            </w:pPr>
            <w:r>
              <w:rPr>
                <w:sz w:val="20"/>
              </w:rPr>
              <w:t>--</w:t>
            </w:r>
          </w:p>
        </w:tc>
        <w:tc>
          <w:tcPr>
            <w:tcW w:w="1417" w:type="dxa"/>
          </w:tcPr>
          <w:p w:rsidR="005F5B3D" w:rsidRDefault="005F5B3D" w:rsidP="008A6853">
            <w:pPr>
              <w:rPr>
                <w:sz w:val="20"/>
              </w:rPr>
            </w:pPr>
          </w:p>
          <w:p w:rsidR="00C1181E" w:rsidRDefault="00A20FA1" w:rsidP="00A20FA1">
            <w:pPr>
              <w:jc w:val="right"/>
              <w:rPr>
                <w:sz w:val="20"/>
              </w:rPr>
            </w:pPr>
            <w:r>
              <w:rPr>
                <w:sz w:val="20"/>
              </w:rPr>
              <w:t>125.100</w:t>
            </w:r>
          </w:p>
          <w:p w:rsidR="00A20FA1" w:rsidRDefault="00A20FA1" w:rsidP="00A20FA1">
            <w:pPr>
              <w:jc w:val="right"/>
              <w:rPr>
                <w:sz w:val="20"/>
              </w:rPr>
            </w:pPr>
          </w:p>
          <w:p w:rsidR="00A20FA1" w:rsidRDefault="00A20FA1" w:rsidP="00A20FA1">
            <w:pPr>
              <w:jc w:val="right"/>
              <w:rPr>
                <w:sz w:val="20"/>
              </w:rPr>
            </w:pPr>
          </w:p>
          <w:p w:rsidR="00A20FA1" w:rsidRDefault="00A20FA1" w:rsidP="00A20FA1">
            <w:pPr>
              <w:jc w:val="right"/>
              <w:rPr>
                <w:sz w:val="20"/>
              </w:rPr>
            </w:pPr>
          </w:p>
          <w:p w:rsidR="00A20FA1" w:rsidRPr="006E0575" w:rsidRDefault="00A20FA1" w:rsidP="00A20FA1">
            <w:pPr>
              <w:jc w:val="right"/>
              <w:rPr>
                <w:sz w:val="20"/>
              </w:rPr>
            </w:pPr>
            <w:r>
              <w:rPr>
                <w:sz w:val="20"/>
              </w:rPr>
              <w:t>24.850</w:t>
            </w:r>
          </w:p>
        </w:tc>
      </w:tr>
      <w:tr w:rsidR="00A20FA1" w:rsidRPr="00A20FA1" w:rsidTr="00A20FA1">
        <w:trPr>
          <w:trHeight w:val="359"/>
        </w:trPr>
        <w:tc>
          <w:tcPr>
            <w:tcW w:w="1814" w:type="dxa"/>
            <w:vAlign w:val="center"/>
          </w:tcPr>
          <w:p w:rsidR="00A20FA1" w:rsidRPr="00A20FA1" w:rsidRDefault="00A20FA1" w:rsidP="006E0575">
            <w:pPr>
              <w:rPr>
                <w:b/>
                <w:sz w:val="20"/>
              </w:rPr>
            </w:pPr>
          </w:p>
        </w:tc>
        <w:tc>
          <w:tcPr>
            <w:tcW w:w="1701" w:type="dxa"/>
            <w:vAlign w:val="center"/>
          </w:tcPr>
          <w:p w:rsidR="00A20FA1" w:rsidRPr="00A20FA1" w:rsidRDefault="00A20FA1" w:rsidP="006E0575">
            <w:pPr>
              <w:rPr>
                <w:b/>
                <w:sz w:val="20"/>
              </w:rPr>
            </w:pPr>
          </w:p>
        </w:tc>
        <w:tc>
          <w:tcPr>
            <w:tcW w:w="794" w:type="dxa"/>
            <w:vAlign w:val="center"/>
          </w:tcPr>
          <w:p w:rsidR="00A20FA1" w:rsidRPr="00A20FA1" w:rsidRDefault="00A20FA1" w:rsidP="008A6853">
            <w:pPr>
              <w:rPr>
                <w:b/>
                <w:sz w:val="20"/>
              </w:rPr>
            </w:pPr>
          </w:p>
        </w:tc>
        <w:tc>
          <w:tcPr>
            <w:tcW w:w="1928" w:type="dxa"/>
            <w:vAlign w:val="center"/>
          </w:tcPr>
          <w:p w:rsidR="00A20FA1" w:rsidRPr="00A20FA1" w:rsidRDefault="00A20FA1" w:rsidP="006E0575">
            <w:pPr>
              <w:rPr>
                <w:b/>
                <w:sz w:val="20"/>
              </w:rPr>
            </w:pPr>
            <w:r w:rsidRPr="00A20FA1">
              <w:rPr>
                <w:b/>
                <w:sz w:val="20"/>
              </w:rPr>
              <w:t>Summe</w:t>
            </w:r>
          </w:p>
        </w:tc>
        <w:tc>
          <w:tcPr>
            <w:tcW w:w="737" w:type="dxa"/>
            <w:shd w:val="pct12" w:color="auto" w:fill="FFFFFF"/>
            <w:vAlign w:val="center"/>
          </w:tcPr>
          <w:p w:rsidR="00A20FA1" w:rsidRPr="00A20FA1" w:rsidRDefault="00A20FA1" w:rsidP="00A20FA1">
            <w:pPr>
              <w:jc w:val="center"/>
              <w:rPr>
                <w:b/>
                <w:sz w:val="20"/>
              </w:rPr>
            </w:pPr>
            <w:r w:rsidRPr="00A20FA1">
              <w:rPr>
                <w:b/>
                <w:sz w:val="20"/>
              </w:rPr>
              <w:t>1,5</w:t>
            </w:r>
          </w:p>
        </w:tc>
        <w:tc>
          <w:tcPr>
            <w:tcW w:w="1134" w:type="dxa"/>
            <w:vAlign w:val="center"/>
          </w:tcPr>
          <w:p w:rsidR="00A20FA1" w:rsidRPr="00A20FA1" w:rsidRDefault="00A20FA1" w:rsidP="008A6853">
            <w:pPr>
              <w:rPr>
                <w:b/>
                <w:sz w:val="20"/>
              </w:rPr>
            </w:pPr>
          </w:p>
        </w:tc>
        <w:tc>
          <w:tcPr>
            <w:tcW w:w="1417" w:type="dxa"/>
            <w:vAlign w:val="center"/>
          </w:tcPr>
          <w:p w:rsidR="00A20FA1" w:rsidRPr="00A20FA1" w:rsidRDefault="00A20FA1" w:rsidP="00A20FA1">
            <w:pPr>
              <w:jc w:val="right"/>
              <w:rPr>
                <w:b/>
                <w:sz w:val="20"/>
              </w:rPr>
            </w:pPr>
            <w:r w:rsidRPr="00A20FA1">
              <w:rPr>
                <w:b/>
                <w:sz w:val="20"/>
              </w:rPr>
              <w:t>149.950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C1181E" w:rsidRDefault="00C1181E" w:rsidP="00884D6C"/>
    <w:p w:rsidR="003D7B0B" w:rsidRDefault="003D39EF" w:rsidP="00884D6C">
      <w:r>
        <w:t>Be</w:t>
      </w:r>
      <w:r w:rsidR="00C1181E">
        <w:t xml:space="preserve">antragt wird die Schaffung </w:t>
      </w:r>
      <w:r w:rsidR="006D5F9A">
        <w:t xml:space="preserve">einer Stelle in Bes. Gr. </w:t>
      </w:r>
      <w:r>
        <w:t xml:space="preserve">A </w:t>
      </w:r>
      <w:r w:rsidR="006D5F9A">
        <w:t xml:space="preserve">14 </w:t>
      </w:r>
      <w:r>
        <w:t xml:space="preserve">für </w:t>
      </w:r>
      <w:r w:rsidR="00270F0C">
        <w:t xml:space="preserve">eine/n </w:t>
      </w:r>
      <w:r w:rsidR="00C1181E">
        <w:t>juristische</w:t>
      </w:r>
      <w:r w:rsidR="00270F0C">
        <w:t xml:space="preserve">n </w:t>
      </w:r>
      <w:r w:rsidR="00C1181E">
        <w:t>Sachbearbeiter/</w:t>
      </w:r>
      <w:r>
        <w:t xml:space="preserve">in im Bereich L/OB-R zur Unterstützung und Vertretung der Leiterin </w:t>
      </w:r>
      <w:r w:rsidR="00291770">
        <w:br/>
      </w:r>
      <w:r>
        <w:t>des Bereichs.</w:t>
      </w:r>
      <w:r w:rsidR="00C1181E">
        <w:t xml:space="preserve"> Darüber hinaus bedarf es zur verwaltungsmäßigen Unterstützung einer halben Assistenzstelle in EG 6 TVöD.</w:t>
      </w:r>
    </w:p>
    <w:p w:rsidR="003D7B0B" w:rsidRDefault="003D7B0B" w:rsidP="00884D6C">
      <w:pPr>
        <w:pStyle w:val="berschrift1"/>
      </w:pPr>
      <w:r>
        <w:t>2</w:t>
      </w:r>
      <w:r>
        <w:tab/>
        <w:t>Schaffun</w:t>
      </w:r>
      <w:r w:rsidRPr="00884D6C">
        <w:rPr>
          <w:u w:val="none"/>
        </w:rPr>
        <w:t>g</w:t>
      </w:r>
      <w:r>
        <w:t>skriterien</w:t>
      </w:r>
    </w:p>
    <w:p w:rsidR="003D7B0B" w:rsidRDefault="003D7B0B" w:rsidP="00884D6C"/>
    <w:p w:rsidR="007E120D" w:rsidRDefault="007E120D" w:rsidP="00884D6C">
      <w:r>
        <w:t>Die Schaffung der Stelle</w:t>
      </w:r>
      <w:r w:rsidR="00BC6916">
        <w:t>n</w:t>
      </w:r>
      <w:r>
        <w:t xml:space="preserve"> ist aufgrund </w:t>
      </w:r>
      <w:r w:rsidR="00283A6E">
        <w:t xml:space="preserve">neuer bzw. erweiterter Aufgaben, die der Gemeinderat mit Beschlussvorlage </w:t>
      </w:r>
      <w:proofErr w:type="spellStart"/>
      <w:r w:rsidR="00283A6E">
        <w:t>GRDrs</w:t>
      </w:r>
      <w:proofErr w:type="spellEnd"/>
      <w:r w:rsidR="00283A6E">
        <w:t xml:space="preserve"> 617/2017 beschlossen hat</w:t>
      </w:r>
      <w:r w:rsidR="0094698B">
        <w:t>,</w:t>
      </w:r>
      <w:r w:rsidR="00283A6E">
        <w:t xml:space="preserve"> erforderlich.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7E120D" w:rsidRDefault="00C1181E" w:rsidP="007E120D">
      <w:r>
        <w:t xml:space="preserve">Nach </w:t>
      </w:r>
      <w:r w:rsidR="0094698B">
        <w:t xml:space="preserve">der mit </w:t>
      </w:r>
      <w:proofErr w:type="spellStart"/>
      <w:r w:rsidR="0094698B">
        <w:t>GRDrs</w:t>
      </w:r>
      <w:proofErr w:type="spellEnd"/>
      <w:r w:rsidR="0094698B">
        <w:t xml:space="preserve"> 617/2017 beschlossenen Projektstruktur für das Gesamtprojekt S</w:t>
      </w:r>
      <w:r>
        <w:t> 21/Rosenstein</w:t>
      </w:r>
      <w:r w:rsidR="0094698B">
        <w:t xml:space="preserve"> </w:t>
      </w:r>
      <w:r>
        <w:t xml:space="preserve">erfolgt durch L/OB-R </w:t>
      </w:r>
      <w:r w:rsidR="0094698B">
        <w:t>die Abstimmung, Koordinierung und Steueru</w:t>
      </w:r>
      <w:r>
        <w:t xml:space="preserve">ng der anfallenden Rechtsfragen </w:t>
      </w:r>
      <w:r w:rsidR="0094698B">
        <w:t>im Sinne einer städtischen Gesamtstrategie</w:t>
      </w:r>
      <w:r>
        <w:t xml:space="preserve"> – neben der laufenden Rechtsberatung. </w:t>
      </w:r>
      <w:r w:rsidR="0094698B">
        <w:t xml:space="preserve">Hinzu kommt die Geschäftsführung für den </w:t>
      </w:r>
      <w:proofErr w:type="spellStart"/>
      <w:r w:rsidR="0094698B">
        <w:t>Internen</w:t>
      </w:r>
      <w:proofErr w:type="spellEnd"/>
      <w:r w:rsidR="0094698B">
        <w:t xml:space="preserve"> Lenkungsausschuss der LHS als der für die </w:t>
      </w:r>
      <w:r w:rsidR="00D5604B">
        <w:t xml:space="preserve">Steuerung </w:t>
      </w:r>
      <w:r w:rsidR="0094698B">
        <w:t xml:space="preserve">des Gesamtprojekts maßgeblichen Ebene. </w:t>
      </w:r>
      <w:r w:rsidR="007E120D">
        <w:t xml:space="preserve">Die </w:t>
      </w:r>
      <w:r w:rsidR="0094698B">
        <w:t xml:space="preserve">hierbei </w:t>
      </w:r>
      <w:r w:rsidR="007E120D">
        <w:t>anfallenden Aufgaben machen über die</w:t>
      </w:r>
      <w:r w:rsidR="0094698B">
        <w:t xml:space="preserve"> </w:t>
      </w:r>
      <w:r w:rsidR="007E120D">
        <w:t xml:space="preserve">bereits besetzte Stelle des bisherigen Rechtsreferats hinaus die Unterstützung </w:t>
      </w:r>
      <w:r w:rsidR="00D5604B">
        <w:t xml:space="preserve">durch </w:t>
      </w:r>
      <w:r w:rsidR="00BC6916">
        <w:t xml:space="preserve">eine/einen </w:t>
      </w:r>
      <w:r w:rsidR="00D5604B">
        <w:t>weitere</w:t>
      </w:r>
      <w:r w:rsidR="00BC6916">
        <w:t>/n</w:t>
      </w:r>
      <w:r w:rsidR="00D5604B">
        <w:t xml:space="preserve"> </w:t>
      </w:r>
      <w:r w:rsidR="007E120D">
        <w:t xml:space="preserve">Volljuristen/in </w:t>
      </w:r>
      <w:r w:rsidR="00D5604B">
        <w:t xml:space="preserve">und eine halbe Sekretariatsstelle unabdingbar. </w:t>
      </w:r>
    </w:p>
    <w:p w:rsidR="00D5604B" w:rsidRDefault="00D5604B" w:rsidP="007E120D"/>
    <w:p w:rsidR="007E120D" w:rsidRDefault="007E120D" w:rsidP="007E120D">
      <w:r>
        <w:t xml:space="preserve">Begründung im Einzelnen: </w:t>
      </w:r>
    </w:p>
    <w:p w:rsidR="002C17F9" w:rsidRDefault="002C17F9" w:rsidP="007E120D"/>
    <w:p w:rsidR="00D5604B" w:rsidRDefault="002C17F9" w:rsidP="007E120D">
      <w:r>
        <w:t>Die LHS ist in vielfacher Funktion mit dem Bahnprojekt Stuttgart 21 verbunden, etwa als Projektpartnerin, Planungsbehörde, Trägerin öffentlicher Belange oder als Eigentümerin der freiwerdenden Glei</w:t>
      </w:r>
      <w:r w:rsidR="00BC6916">
        <w:t>s</w:t>
      </w:r>
      <w:r>
        <w:t xml:space="preserve">flächen. Bei der Stadtverwaltung laufen daher eine Vielzahl von </w:t>
      </w:r>
      <w:r>
        <w:lastRenderedPageBreak/>
        <w:t>Themen an unterschiedlichen Stellen zusammen. Der Schwerpunkt der städtischen Tä</w:t>
      </w:r>
      <w:r w:rsidR="001D6E8A">
        <w:t>tigkeit liegt dabei bislang bei</w:t>
      </w:r>
      <w:r>
        <w:t xml:space="preserve"> dem Bahnprojekt im engeren Sinne, d.h. der fachlichen und rechtlichen Begleitung der Baumaßnahmen der Bahn. Mit der Konkretisierung des Stadten</w:t>
      </w:r>
      <w:r w:rsidR="00DE4FDA">
        <w:t>t</w:t>
      </w:r>
      <w:r>
        <w:t xml:space="preserve">wicklungsprojekts Rosenstein (s. </w:t>
      </w:r>
      <w:proofErr w:type="spellStart"/>
      <w:r>
        <w:t>GRDrs</w:t>
      </w:r>
      <w:proofErr w:type="spellEnd"/>
      <w:r>
        <w:t xml:space="preserve"> 617/2017) tritt das Ge</w:t>
      </w:r>
      <w:r w:rsidR="001D6E8A">
        <w:t xml:space="preserve">samtprojekt „Stuttgart 21“ nun </w:t>
      </w:r>
      <w:r>
        <w:t>in eine neue und für die LHS entscheidende Phase. Angesichts der verschiedenen betroffenen Belange ist dabei in besonderem Maß ein vernetztes und zielgerichtetes Vorgehen innerhalb der Stadtverwaltung erforderlich. Dies gilt gerade auch für den juristischen Bereich. Die rechtlichen Fragen, die sich in den künftigen Teilprojekten (</w:t>
      </w:r>
      <w:r w:rsidR="00D5604B">
        <w:t xml:space="preserve">s. Projektstruktur in Anlage 5, </w:t>
      </w:r>
      <w:proofErr w:type="spellStart"/>
      <w:r>
        <w:t>GRDrs</w:t>
      </w:r>
      <w:proofErr w:type="spellEnd"/>
      <w:r>
        <w:t xml:space="preserve"> 617/2017)</w:t>
      </w:r>
      <w:r w:rsidR="001D6E8A">
        <w:t>,</w:t>
      </w:r>
      <w:r>
        <w:t xml:space="preserve"> aber auch im Hinblick auf die </w:t>
      </w:r>
      <w:r w:rsidR="001D6E8A">
        <w:t xml:space="preserve">anhängigen </w:t>
      </w:r>
      <w:r w:rsidR="00D5604B">
        <w:t>Gerichtsverfahren stellen,</w:t>
      </w:r>
      <w:r>
        <w:t xml:space="preserve"> sind eng miteinander verknüpft. Sie bedürfen der laufenden Abstimmung, Koordinierung und Steuerung im Sinne einer städtischen Gesamtstrategie, auch um </w:t>
      </w:r>
      <w:r w:rsidR="00D5604B">
        <w:t xml:space="preserve">auf </w:t>
      </w:r>
      <w:r>
        <w:t>Augenhöhe mit der äußerst qualifiziert besetzten Bahn verhandeln zu können. Darüber hinaus besteht mittlerweile erhöhter Beda</w:t>
      </w:r>
      <w:r w:rsidR="001D6E8A">
        <w:t xml:space="preserve">rf an rechtlicher Unterstützung etwa </w:t>
      </w:r>
      <w:r>
        <w:t xml:space="preserve">im Zusammenhang mit den </w:t>
      </w:r>
      <w:r w:rsidR="001D6E8A">
        <w:t xml:space="preserve">Perspektiven für die </w:t>
      </w:r>
      <w:proofErr w:type="spellStart"/>
      <w:r w:rsidR="001D6E8A">
        <w:t>Gäubahn</w:t>
      </w:r>
      <w:proofErr w:type="spellEnd"/>
      <w:r w:rsidR="001D6E8A">
        <w:t xml:space="preserve">/Panoramabahn, den </w:t>
      </w:r>
      <w:proofErr w:type="spellStart"/>
      <w:r w:rsidR="001D6E8A">
        <w:t>Filderbahnhof</w:t>
      </w:r>
      <w:proofErr w:type="spellEnd"/>
      <w:r w:rsidR="001D6E8A">
        <w:t xml:space="preserve"> oder die Wendlinger Kurve</w:t>
      </w:r>
      <w:r w:rsidR="00BC6916">
        <w:t>,</w:t>
      </w:r>
      <w:r w:rsidR="001D6E8A">
        <w:t xml:space="preserve"> aber auch in den verschiedenen, finanziell bedeutsamen</w:t>
      </w:r>
      <w:r>
        <w:t xml:space="preserve"> Verhandlungen </w:t>
      </w:r>
      <w:r w:rsidR="001D6E8A">
        <w:t xml:space="preserve">mit der Bahn sowie </w:t>
      </w:r>
      <w:r>
        <w:t xml:space="preserve">den Planfeststellungs- und Planänderungsverfahren. </w:t>
      </w:r>
    </w:p>
    <w:p w:rsidR="007E120D" w:rsidRDefault="007E120D" w:rsidP="007E120D"/>
    <w:p w:rsidR="00D26CA3" w:rsidRDefault="00D26CA3" w:rsidP="007E120D"/>
    <w:p w:rsidR="00E95C0E" w:rsidRDefault="00DE4FDA" w:rsidP="00E95C0E">
      <w:r>
        <w:rPr>
          <w:b/>
        </w:rPr>
        <w:t xml:space="preserve">Unter Berücksichtigung der neuen Aufgaben gemäß </w:t>
      </w:r>
      <w:proofErr w:type="spellStart"/>
      <w:r>
        <w:rPr>
          <w:b/>
        </w:rPr>
        <w:t>GRDrs</w:t>
      </w:r>
      <w:proofErr w:type="spellEnd"/>
      <w:r>
        <w:rPr>
          <w:b/>
        </w:rPr>
        <w:t xml:space="preserve"> 617/2017 </w:t>
      </w:r>
      <w:r w:rsidR="00E95C0E" w:rsidRPr="00E95C0E">
        <w:rPr>
          <w:b/>
        </w:rPr>
        <w:t xml:space="preserve">wurden die Aufgaben </w:t>
      </w:r>
      <w:r>
        <w:rPr>
          <w:b/>
        </w:rPr>
        <w:t>des Bereichs L/OB-R</w:t>
      </w:r>
      <w:r w:rsidR="00E95C0E" w:rsidRPr="00E95C0E">
        <w:rPr>
          <w:b/>
        </w:rPr>
        <w:t xml:space="preserve"> wie folgt konkretisiert:</w:t>
      </w:r>
    </w:p>
    <w:p w:rsidR="007E120D" w:rsidRDefault="007E120D" w:rsidP="007E120D">
      <w:pPr>
        <w:pStyle w:val="Listenabsatz"/>
        <w:ind w:left="426"/>
      </w:pPr>
    </w:p>
    <w:p w:rsidR="00DE4FDA" w:rsidRDefault="00DE4FDA" w:rsidP="00D26CA3">
      <w:pPr>
        <w:pStyle w:val="Listenabsatz"/>
        <w:numPr>
          <w:ilvl w:val="1"/>
          <w:numId w:val="10"/>
        </w:numPr>
        <w:ind w:left="567"/>
      </w:pPr>
      <w:r>
        <w:t>referatsübergreifende Koordinierung von juristischen und strategischen Fragestellungen zu S 21</w:t>
      </w:r>
      <w:r w:rsidR="00D26CA3">
        <w:br/>
      </w:r>
    </w:p>
    <w:p w:rsidR="00D26CA3" w:rsidRDefault="00D26CA3" w:rsidP="00D26CA3">
      <w:pPr>
        <w:pStyle w:val="Listenabsatz"/>
        <w:numPr>
          <w:ilvl w:val="1"/>
          <w:numId w:val="10"/>
        </w:numPr>
        <w:ind w:left="567"/>
      </w:pPr>
      <w:r>
        <w:t>Herbeiführung einer gesamtstädtischen Strategie und Verhandlungsposition</w:t>
      </w:r>
      <w:r>
        <w:br/>
      </w:r>
    </w:p>
    <w:p w:rsidR="00D26CA3" w:rsidRDefault="00D26CA3" w:rsidP="00D26CA3">
      <w:pPr>
        <w:pStyle w:val="Listenabsatz"/>
        <w:numPr>
          <w:ilvl w:val="1"/>
          <w:numId w:val="10"/>
        </w:numPr>
        <w:ind w:left="567"/>
      </w:pPr>
      <w:r>
        <w:t>Zentrale Ansprechpartnerin für Verwaltungsspitze und Politik in juristischen und strategischen Fragestellungen sowie Beratung der Verwaltungsspitze in diesen Fragen</w:t>
      </w:r>
      <w:r>
        <w:br/>
      </w:r>
    </w:p>
    <w:p w:rsidR="00D26CA3" w:rsidRDefault="00D26CA3" w:rsidP="00D26CA3">
      <w:pPr>
        <w:pStyle w:val="Listenabsatz"/>
        <w:numPr>
          <w:ilvl w:val="1"/>
          <w:numId w:val="10"/>
        </w:numPr>
        <w:ind w:left="567"/>
      </w:pPr>
      <w:r>
        <w:t>Bearbeitung und Steuerung der Gerichtsverfahren im Zusammenhang mit S 21 (z.B. Mehrkostenklage der Bahn, Stilllegungsverfahren vor dem BVerwG), ggfs. Vertretung vor Gericht</w:t>
      </w:r>
      <w:r>
        <w:br/>
      </w:r>
    </w:p>
    <w:p w:rsidR="00D26CA3" w:rsidRDefault="00D26CA3" w:rsidP="00D26CA3">
      <w:pPr>
        <w:pStyle w:val="Listenabsatz"/>
        <w:numPr>
          <w:ilvl w:val="1"/>
          <w:numId w:val="10"/>
        </w:numPr>
        <w:ind w:left="567"/>
      </w:pPr>
      <w:r>
        <w:t>Rechtliche Begleitung und Koordinierung im Stadtentwicklungsprojekt Rosenstein (insb. Verfahren rund um den Rückbau der Gleisflächen und die Stadtplanung Rosenstein)</w:t>
      </w:r>
      <w:r>
        <w:br/>
      </w:r>
    </w:p>
    <w:p w:rsidR="00D26CA3" w:rsidRDefault="00D26CA3" w:rsidP="00D26CA3">
      <w:pPr>
        <w:pStyle w:val="Listenabsatz"/>
        <w:numPr>
          <w:ilvl w:val="1"/>
          <w:numId w:val="10"/>
        </w:numPr>
        <w:ind w:left="567"/>
      </w:pPr>
      <w:r>
        <w:t>Verhandlungen mit Projektpartnern und anderen Beteiligten</w:t>
      </w:r>
      <w:r>
        <w:br/>
      </w:r>
    </w:p>
    <w:p w:rsidR="00D26CA3" w:rsidRDefault="00D26CA3" w:rsidP="00D26CA3">
      <w:pPr>
        <w:pStyle w:val="Listenabsatz"/>
        <w:numPr>
          <w:ilvl w:val="1"/>
          <w:numId w:val="10"/>
        </w:numPr>
        <w:ind w:left="567"/>
      </w:pPr>
      <w:r>
        <w:t>Juristische und strategische Abstimmung mit den beauftragten Anwälten</w:t>
      </w:r>
      <w:r>
        <w:br/>
      </w:r>
    </w:p>
    <w:p w:rsidR="00D26CA3" w:rsidRDefault="00D26CA3" w:rsidP="00D26CA3">
      <w:pPr>
        <w:pStyle w:val="Listenabsatz"/>
        <w:numPr>
          <w:ilvl w:val="1"/>
          <w:numId w:val="10"/>
        </w:numPr>
        <w:ind w:left="567"/>
      </w:pPr>
      <w:r>
        <w:t>Vorbereitung der Entscheidung über die Mandatierung von Anwälten sowie die Erhebung von Klagen</w:t>
      </w:r>
      <w:r>
        <w:br/>
      </w:r>
    </w:p>
    <w:p w:rsidR="00D26CA3" w:rsidRDefault="001D6E8A" w:rsidP="00D26CA3">
      <w:pPr>
        <w:pStyle w:val="Listenabsatz"/>
        <w:numPr>
          <w:ilvl w:val="1"/>
          <w:numId w:val="10"/>
        </w:numPr>
        <w:ind w:left="567"/>
      </w:pPr>
      <w:r>
        <w:t xml:space="preserve">Steuerung der </w:t>
      </w:r>
      <w:r w:rsidR="00D26CA3">
        <w:t>Bearbeitung juristischer Fragen mit referats- un</w:t>
      </w:r>
      <w:r>
        <w:t>d ämterübergreifender Bedeutung</w:t>
      </w:r>
    </w:p>
    <w:p w:rsidR="001D6E8A" w:rsidRDefault="001D6E8A" w:rsidP="001D6E8A">
      <w:pPr>
        <w:pStyle w:val="Listenabsatz"/>
        <w:ind w:left="567"/>
      </w:pPr>
    </w:p>
    <w:p w:rsidR="00D26CA3" w:rsidRDefault="00D26CA3" w:rsidP="00D26CA3">
      <w:pPr>
        <w:pStyle w:val="Listenabsatz"/>
        <w:numPr>
          <w:ilvl w:val="1"/>
          <w:numId w:val="10"/>
        </w:numPr>
        <w:ind w:left="567"/>
      </w:pPr>
      <w:r>
        <w:lastRenderedPageBreak/>
        <w:t>Geschäftsführung des stadtinternen Lenkungskreises</w:t>
      </w:r>
      <w:r>
        <w:br/>
      </w:r>
    </w:p>
    <w:p w:rsidR="00D26CA3" w:rsidRDefault="00D26CA3" w:rsidP="00D26CA3">
      <w:pPr>
        <w:pStyle w:val="Listenabsatz"/>
        <w:numPr>
          <w:ilvl w:val="1"/>
          <w:numId w:val="10"/>
        </w:numPr>
        <w:ind w:left="567"/>
      </w:pPr>
      <w:r>
        <w:t>Inhaltliche Vorbereitung der Sitzungen des Lenkungskreises S 21 (extern) und des Arbeitskreises BW 21</w:t>
      </w:r>
      <w:r>
        <w:br/>
      </w:r>
    </w:p>
    <w:p w:rsidR="00D26CA3" w:rsidRDefault="00D26CA3" w:rsidP="00D26CA3">
      <w:pPr>
        <w:pStyle w:val="Listenabsatz"/>
        <w:numPr>
          <w:ilvl w:val="1"/>
          <w:numId w:val="10"/>
        </w:numPr>
        <w:ind w:left="567"/>
      </w:pPr>
      <w:r>
        <w:t>Begleitung von Planfeststellungsverfahren (Einwendungen der Stadt, Stellungnahme als Träger öffentlicher Belange, Überprüfung Planfeststellungsbeschlüsse) im Hinblick auf die städtische Gesamtstrategie</w:t>
      </w:r>
      <w:r>
        <w:br/>
      </w:r>
    </w:p>
    <w:p w:rsidR="00D26CA3" w:rsidRDefault="00D26CA3" w:rsidP="00D26CA3">
      <w:pPr>
        <w:pStyle w:val="Listenabsatz"/>
        <w:numPr>
          <w:ilvl w:val="1"/>
          <w:numId w:val="10"/>
        </w:numPr>
        <w:ind w:left="567"/>
      </w:pPr>
      <w:r>
        <w:t>Vorbereitung entsprechend</w:t>
      </w:r>
      <w:r w:rsidR="001D6E8A">
        <w:t>er TOPs von VA und Gemeinderat</w:t>
      </w:r>
    </w:p>
    <w:p w:rsidR="001D6E8A" w:rsidRDefault="001D6E8A" w:rsidP="001D6E8A">
      <w:pPr>
        <w:pStyle w:val="Listenabsatz"/>
        <w:ind w:left="567"/>
      </w:pPr>
    </w:p>
    <w:p w:rsidR="00D26CA3" w:rsidRDefault="00D26CA3" w:rsidP="00D26CA3">
      <w:pPr>
        <w:pStyle w:val="Listenabsatz"/>
        <w:numPr>
          <w:ilvl w:val="1"/>
          <w:numId w:val="10"/>
        </w:numPr>
        <w:ind w:left="567"/>
      </w:pPr>
      <w:r>
        <w:t>Teilnahme am internen Projektsteuerkreis</w:t>
      </w:r>
    </w:p>
    <w:p w:rsidR="00DE4FDA" w:rsidRDefault="00DE4FDA" w:rsidP="00DE4FDA">
      <w:pPr>
        <w:ind w:left="360"/>
      </w:pPr>
    </w:p>
    <w:p w:rsidR="00D26CA3" w:rsidRPr="00884D6C" w:rsidRDefault="00D26CA3" w:rsidP="00D26CA3">
      <w:pPr>
        <w:pStyle w:val="berschrift2"/>
      </w:pPr>
      <w:r w:rsidRPr="00884D6C">
        <w:t>3.1</w:t>
      </w:r>
      <w:r>
        <w:t>.1</w:t>
      </w:r>
      <w:r w:rsidRPr="00884D6C">
        <w:tab/>
      </w:r>
      <w:r w:rsidR="003661A3">
        <w:t>Juristische Sachbearbeit</w:t>
      </w:r>
      <w:r w:rsidR="00270F0C">
        <w:t>ung</w:t>
      </w:r>
    </w:p>
    <w:p w:rsidR="00925753" w:rsidRDefault="00925753" w:rsidP="00E95C0E">
      <w:pPr>
        <w:pStyle w:val="Listenabsatz"/>
        <w:ind w:left="0"/>
      </w:pPr>
    </w:p>
    <w:p w:rsidR="007E120D" w:rsidRDefault="007E120D" w:rsidP="00E95C0E">
      <w:pPr>
        <w:pStyle w:val="Listenabsatz"/>
        <w:ind w:left="0"/>
      </w:pPr>
      <w:r>
        <w:t xml:space="preserve">Die verantwortliche Wahrnehmung dieser Aufgaben allein durch eine Mitarbeiterin ist – gerade auch angesichts der finanziellen und strategischen Bedeutung der Themen – nicht möglich. Vielmehr ist die Unterstützung durch </w:t>
      </w:r>
      <w:r w:rsidR="00270F0C">
        <w:t xml:space="preserve">eine </w:t>
      </w:r>
      <w:r w:rsidR="00D5604B">
        <w:t>weitere</w:t>
      </w:r>
      <w:r>
        <w:t xml:space="preserve"> Juristen</w:t>
      </w:r>
      <w:r w:rsidR="00270F0C">
        <w:t xml:space="preserve">stelle </w:t>
      </w:r>
      <w:r w:rsidR="00D26CA3">
        <w:t>geboten. Diese</w:t>
      </w:r>
      <w:r>
        <w:t xml:space="preserve"> soll schwerpunktmäßig folgende Aufgaben übernehmen: </w:t>
      </w:r>
    </w:p>
    <w:p w:rsidR="007E120D" w:rsidRDefault="007E120D" w:rsidP="00E95C0E">
      <w:pPr>
        <w:pStyle w:val="Listenabsatz"/>
        <w:ind w:left="0"/>
      </w:pPr>
    </w:p>
    <w:p w:rsidR="007E120D" w:rsidRDefault="00925753" w:rsidP="00E95C0E">
      <w:pPr>
        <w:pStyle w:val="Listenabsatz"/>
        <w:numPr>
          <w:ilvl w:val="0"/>
          <w:numId w:val="8"/>
        </w:numPr>
        <w:ind w:left="426"/>
      </w:pPr>
      <w:r>
        <w:t>V</w:t>
      </w:r>
      <w:r w:rsidR="007E120D">
        <w:t>ertiefte juristische Überprüfung von</w:t>
      </w:r>
      <w:r w:rsidR="00DE4FDA">
        <w:t xml:space="preserve"> Rechtsfragen</w:t>
      </w:r>
      <w:r w:rsidR="007E120D">
        <w:t>, die im Rahmen der Koordinierung und Steuerung bei L</w:t>
      </w:r>
      <w:r w:rsidR="00DE4FDA">
        <w:t>/OB-R</w:t>
      </w:r>
      <w:r w:rsidR="00D26CA3">
        <w:t xml:space="preserve"> auftauchen</w:t>
      </w:r>
    </w:p>
    <w:p w:rsidR="00DE4FDA" w:rsidRDefault="00DE4FDA" w:rsidP="00E95C0E">
      <w:pPr>
        <w:pStyle w:val="Listenabsatz"/>
        <w:numPr>
          <w:ilvl w:val="0"/>
          <w:numId w:val="8"/>
        </w:numPr>
        <w:ind w:left="426"/>
      </w:pPr>
      <w:r>
        <w:t xml:space="preserve">Unterstützung der Leitung von L/OB-R bei der Geschäftsführung für den Lenkungskreis </w:t>
      </w:r>
    </w:p>
    <w:p w:rsidR="00DE4FDA" w:rsidRDefault="00DE4FDA" w:rsidP="00E95C0E">
      <w:pPr>
        <w:pStyle w:val="Listenabsatz"/>
        <w:numPr>
          <w:ilvl w:val="0"/>
          <w:numId w:val="8"/>
        </w:numPr>
        <w:ind w:left="426"/>
      </w:pPr>
      <w:r>
        <w:t xml:space="preserve">Vorbereitung der Sitzungen externer Gremien </w:t>
      </w:r>
    </w:p>
    <w:p w:rsidR="007E120D" w:rsidRDefault="007E120D" w:rsidP="00D26CA3">
      <w:pPr>
        <w:pStyle w:val="Listenabsatz"/>
        <w:numPr>
          <w:ilvl w:val="0"/>
          <w:numId w:val="8"/>
        </w:numPr>
        <w:ind w:left="426"/>
      </w:pPr>
      <w:r>
        <w:t>Unterstützung der Leitung von L/OB-R bei der Begleitung de</w:t>
      </w:r>
      <w:r w:rsidR="00E96E7E">
        <w:t>r</w:t>
      </w:r>
      <w:r w:rsidR="00D26CA3">
        <w:t xml:space="preserve"> Gerichtsverfahren, insbesondere </w:t>
      </w:r>
      <w:r w:rsidR="00E96E7E">
        <w:t xml:space="preserve">Sichtung, </w:t>
      </w:r>
      <w:r>
        <w:t>Aufarbeitung</w:t>
      </w:r>
      <w:r w:rsidR="00E96E7E">
        <w:t xml:space="preserve"> und Auswertung</w:t>
      </w:r>
      <w:r>
        <w:t xml:space="preserve"> der </w:t>
      </w:r>
      <w:r w:rsidR="00E96E7E">
        <w:t xml:space="preserve">relevanten </w:t>
      </w:r>
      <w:r w:rsidR="00D26CA3">
        <w:t>Materialien</w:t>
      </w:r>
    </w:p>
    <w:p w:rsidR="007E120D" w:rsidRDefault="007E120D" w:rsidP="00E95C0E">
      <w:pPr>
        <w:pStyle w:val="Listenabsatz"/>
        <w:numPr>
          <w:ilvl w:val="0"/>
          <w:numId w:val="8"/>
        </w:numPr>
        <w:ind w:left="426"/>
      </w:pPr>
      <w:r>
        <w:t>Ve</w:t>
      </w:r>
      <w:r w:rsidR="00D26CA3">
        <w:t>rtretung der Leitung von L/OB-R</w:t>
      </w:r>
    </w:p>
    <w:p w:rsidR="00E95C0E" w:rsidRDefault="00E95C0E" w:rsidP="00E95C0E">
      <w:pPr>
        <w:pStyle w:val="Listenabsatz"/>
        <w:ind w:left="0"/>
      </w:pPr>
    </w:p>
    <w:p w:rsidR="003661A3" w:rsidRDefault="003661A3" w:rsidP="003661A3">
      <w:pPr>
        <w:pStyle w:val="berschrift2"/>
      </w:pPr>
      <w:r w:rsidRPr="00884D6C">
        <w:t>3.1</w:t>
      </w:r>
      <w:r>
        <w:t>.2</w:t>
      </w:r>
      <w:r w:rsidRPr="00884D6C">
        <w:tab/>
      </w:r>
      <w:r>
        <w:t>Assistenz</w:t>
      </w:r>
    </w:p>
    <w:p w:rsidR="003661A3" w:rsidRDefault="003661A3" w:rsidP="003661A3"/>
    <w:p w:rsidR="003661A3" w:rsidRDefault="003661A3" w:rsidP="003661A3">
      <w:r>
        <w:t xml:space="preserve">Um die erforderliche administrative Unterstützung von L/OB-R zu gewährleisten, bedarf es einer halben Assistenzstelle in EG 6 TVöD, die insbesondere folgende Aufgaben hat: </w:t>
      </w:r>
    </w:p>
    <w:p w:rsidR="003661A3" w:rsidRDefault="003661A3" w:rsidP="003661A3">
      <w:r>
        <w:t xml:space="preserve">Erledigung von Schreibarbeiten, Telefondienst, Terminverwaltung, Fristenüberwachung, Recherchetätigkeiten, Überprüfung von </w:t>
      </w:r>
      <w:r w:rsidR="00BC6916">
        <w:t>R</w:t>
      </w:r>
      <w:bookmarkStart w:id="0" w:name="_GoBack"/>
      <w:bookmarkEnd w:id="0"/>
      <w:r>
        <w:t xml:space="preserve">echnungen, Vorbereitung von Unterlagen für Gremien und Gespräche und Sitzungsnachbereitung. </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3D7B0B" w:rsidRDefault="00016285" w:rsidP="00884D6C">
      <w:r>
        <w:t>Bei Ablehnung des Stellenantrags ist eine adäquate und fundierte Erfüllung der vorgenannten Aufgaben nicht möglich</w:t>
      </w:r>
      <w:r w:rsidR="00C146A0">
        <w:t>. In der Folge sind</w:t>
      </w:r>
      <w:r>
        <w:t xml:space="preserve"> weitreichende Konsequenzen und Nachteile für die Stadt zu befürchten.</w:t>
      </w:r>
    </w:p>
    <w:p w:rsidR="00016285" w:rsidRDefault="00016285" w:rsidP="00884D6C"/>
    <w:p w:rsidR="003D7B0B" w:rsidRDefault="00884D6C" w:rsidP="00884D6C">
      <w:pPr>
        <w:pStyle w:val="berschrift1"/>
      </w:pPr>
      <w:r>
        <w:t>4</w:t>
      </w:r>
      <w:r>
        <w:tab/>
      </w:r>
      <w:r w:rsidR="003D7B0B">
        <w:t>Stellenvermerke</w:t>
      </w:r>
    </w:p>
    <w:p w:rsidR="003D7B0B" w:rsidRDefault="003D7B0B" w:rsidP="00884D6C"/>
    <w:p w:rsidR="006E0575" w:rsidRDefault="00A20FA1" w:rsidP="00884D6C">
      <w:r>
        <w:t>keine</w:t>
      </w:r>
    </w:p>
    <w:sectPr w:rsidR="006E0575"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1BE" w:rsidRDefault="009071BE">
      <w:r>
        <w:separator/>
      </w:r>
    </w:p>
  </w:endnote>
  <w:endnote w:type="continuationSeparator" w:id="0">
    <w:p w:rsidR="009071BE" w:rsidRDefault="0090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1BE" w:rsidRDefault="009071BE">
      <w:r>
        <w:separator/>
      </w:r>
    </w:p>
  </w:footnote>
  <w:footnote w:type="continuationSeparator" w:id="0">
    <w:p w:rsidR="009071BE" w:rsidRDefault="00907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BE" w:rsidRDefault="009071BE">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BC6916">
      <w:rPr>
        <w:rStyle w:val="Seitenzahl"/>
        <w:noProof/>
      </w:rPr>
      <w:t>3</w:t>
    </w:r>
    <w:r>
      <w:rPr>
        <w:rStyle w:val="Seitenzahl"/>
      </w:rPr>
      <w:fldChar w:fldCharType="end"/>
    </w:r>
    <w:r>
      <w:rPr>
        <w:rStyle w:val="Seitenzahl"/>
      </w:rPr>
      <w:t xml:space="preserve"> -</w:t>
    </w:r>
  </w:p>
  <w:p w:rsidR="009071BE" w:rsidRDefault="009071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6667A"/>
    <w:multiLevelType w:val="hybridMultilevel"/>
    <w:tmpl w:val="5F8CDD50"/>
    <w:lvl w:ilvl="0" w:tplc="0407000F">
      <w:start w:val="1"/>
      <w:numFmt w:val="decimal"/>
      <w:lvlText w:val="%1."/>
      <w:lvlJc w:val="left"/>
      <w:pPr>
        <w:ind w:left="720" w:hanging="360"/>
      </w:pPr>
      <w:rPr>
        <w:rFonts w:hint="default"/>
      </w:rPr>
    </w:lvl>
    <w:lvl w:ilvl="1" w:tplc="F41C652C">
      <w:numFmt w:val="bullet"/>
      <w:lvlText w:val="-"/>
      <w:lvlJc w:val="left"/>
      <w:pPr>
        <w:ind w:left="144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E80BCA"/>
    <w:multiLevelType w:val="hybridMultilevel"/>
    <w:tmpl w:val="966426F4"/>
    <w:lvl w:ilvl="0" w:tplc="CA84E1EA">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1D6F5AB4"/>
    <w:multiLevelType w:val="hybridMultilevel"/>
    <w:tmpl w:val="8B5A8DF4"/>
    <w:lvl w:ilvl="0" w:tplc="CA84E1EA">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9F653F5"/>
    <w:multiLevelType w:val="hybridMultilevel"/>
    <w:tmpl w:val="F948F7DA"/>
    <w:lvl w:ilvl="0" w:tplc="04070011">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8" w15:restartNumberingAfterBreak="0">
    <w:nsid w:val="6B51481A"/>
    <w:multiLevelType w:val="hybridMultilevel"/>
    <w:tmpl w:val="6B96E12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6"/>
  </w:num>
  <w:num w:numId="5">
    <w:abstractNumId w:val="9"/>
  </w:num>
  <w:num w:numId="6">
    <w:abstractNumId w:val="5"/>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16285"/>
    <w:rsid w:val="000A1146"/>
    <w:rsid w:val="000C666D"/>
    <w:rsid w:val="000D229A"/>
    <w:rsid w:val="00101BF2"/>
    <w:rsid w:val="0011112B"/>
    <w:rsid w:val="0014415D"/>
    <w:rsid w:val="00163034"/>
    <w:rsid w:val="00165C0D"/>
    <w:rsid w:val="00181857"/>
    <w:rsid w:val="00184EDC"/>
    <w:rsid w:val="00194770"/>
    <w:rsid w:val="001A5F9B"/>
    <w:rsid w:val="001D6E8A"/>
    <w:rsid w:val="001F7237"/>
    <w:rsid w:val="00270F0C"/>
    <w:rsid w:val="002779E3"/>
    <w:rsid w:val="00283A6E"/>
    <w:rsid w:val="00291770"/>
    <w:rsid w:val="002924CB"/>
    <w:rsid w:val="002A20D1"/>
    <w:rsid w:val="002B5955"/>
    <w:rsid w:val="002C17F9"/>
    <w:rsid w:val="00341F1E"/>
    <w:rsid w:val="003661A3"/>
    <w:rsid w:val="00380937"/>
    <w:rsid w:val="003A29C4"/>
    <w:rsid w:val="003D39EF"/>
    <w:rsid w:val="003D7B0B"/>
    <w:rsid w:val="00470135"/>
    <w:rsid w:val="0047606A"/>
    <w:rsid w:val="004908B5"/>
    <w:rsid w:val="0049121B"/>
    <w:rsid w:val="004A1688"/>
    <w:rsid w:val="004B6796"/>
    <w:rsid w:val="004C7BFD"/>
    <w:rsid w:val="004F5184"/>
    <w:rsid w:val="00570DDE"/>
    <w:rsid w:val="005A0A9D"/>
    <w:rsid w:val="005A56AA"/>
    <w:rsid w:val="005B701D"/>
    <w:rsid w:val="005E19C6"/>
    <w:rsid w:val="005F5B3D"/>
    <w:rsid w:val="00606F80"/>
    <w:rsid w:val="00651316"/>
    <w:rsid w:val="0066604C"/>
    <w:rsid w:val="006A7700"/>
    <w:rsid w:val="006B6D50"/>
    <w:rsid w:val="006D43F6"/>
    <w:rsid w:val="006D5F9A"/>
    <w:rsid w:val="006E0575"/>
    <w:rsid w:val="00754659"/>
    <w:rsid w:val="007A29E4"/>
    <w:rsid w:val="007E120D"/>
    <w:rsid w:val="007E3B79"/>
    <w:rsid w:val="008066EE"/>
    <w:rsid w:val="00817BB6"/>
    <w:rsid w:val="008629BC"/>
    <w:rsid w:val="00865738"/>
    <w:rsid w:val="00884D6C"/>
    <w:rsid w:val="008A6853"/>
    <w:rsid w:val="00906404"/>
    <w:rsid w:val="009071BE"/>
    <w:rsid w:val="00925753"/>
    <w:rsid w:val="0094698B"/>
    <w:rsid w:val="00976588"/>
    <w:rsid w:val="009D21D8"/>
    <w:rsid w:val="00A20FA1"/>
    <w:rsid w:val="00A27CA7"/>
    <w:rsid w:val="00A71D0A"/>
    <w:rsid w:val="00A77F1E"/>
    <w:rsid w:val="00AD1580"/>
    <w:rsid w:val="00B04290"/>
    <w:rsid w:val="00B11187"/>
    <w:rsid w:val="00B64B37"/>
    <w:rsid w:val="00B80DEF"/>
    <w:rsid w:val="00BC4669"/>
    <w:rsid w:val="00BC5E94"/>
    <w:rsid w:val="00BC6916"/>
    <w:rsid w:val="00BF2B95"/>
    <w:rsid w:val="00C1181E"/>
    <w:rsid w:val="00C146A0"/>
    <w:rsid w:val="00C16EF1"/>
    <w:rsid w:val="00C448D3"/>
    <w:rsid w:val="00C6220E"/>
    <w:rsid w:val="00C87CDE"/>
    <w:rsid w:val="00CA65C7"/>
    <w:rsid w:val="00D26CA3"/>
    <w:rsid w:val="00D461B9"/>
    <w:rsid w:val="00D5604B"/>
    <w:rsid w:val="00DB3D6C"/>
    <w:rsid w:val="00DE4FDA"/>
    <w:rsid w:val="00E014B6"/>
    <w:rsid w:val="00E1162F"/>
    <w:rsid w:val="00E11705"/>
    <w:rsid w:val="00E11D5F"/>
    <w:rsid w:val="00E20E1F"/>
    <w:rsid w:val="00E7118F"/>
    <w:rsid w:val="00E95C0E"/>
    <w:rsid w:val="00E96E7E"/>
    <w:rsid w:val="00F27657"/>
    <w:rsid w:val="00F331A8"/>
    <w:rsid w:val="00F342DC"/>
    <w:rsid w:val="00F63041"/>
    <w:rsid w:val="00F76452"/>
    <w:rsid w:val="00FC4C4D"/>
    <w:rsid w:val="00FD3D5A"/>
    <w:rsid w:val="00FD3F5B"/>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5C1C6"/>
  <w15:docId w15:val="{2AE5B5F3-B629-40DE-8E20-A2CA51C5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link w:val="berschrift2Zchn"/>
    <w:qFormat/>
    <w:rsid w:val="00DB3D6C"/>
    <w:pPr>
      <w:keepNext/>
      <w:spacing w:before="240"/>
      <w:ind w:left="482" w:hanging="482"/>
      <w:outlineLvl w:val="1"/>
    </w:pPr>
    <w:rPr>
      <w:b/>
    </w:rPr>
  </w:style>
  <w:style w:type="paragraph" w:styleId="berschrift3">
    <w:name w:val="heading 3"/>
    <w:basedOn w:val="Standard"/>
    <w:next w:val="Standard"/>
    <w:qFormat/>
    <w:rsid w:val="006D43F6"/>
    <w:pPr>
      <w:keepNext/>
      <w:spacing w:before="240" w:after="60"/>
      <w:outlineLvl w:val="2"/>
    </w:pPr>
    <w:rPr>
      <w:b/>
    </w:rPr>
  </w:style>
  <w:style w:type="paragraph" w:styleId="berschrift4">
    <w:name w:val="heading 4"/>
    <w:basedOn w:val="Standard"/>
    <w:next w:val="Standard"/>
    <w:qFormat/>
    <w:rsid w:val="006D43F6"/>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D43F6"/>
    <w:rPr>
      <w:sz w:val="16"/>
    </w:rPr>
  </w:style>
  <w:style w:type="paragraph" w:styleId="Kommentartext">
    <w:name w:val="annotation text"/>
    <w:basedOn w:val="Standard"/>
    <w:link w:val="KommentartextZchn"/>
    <w:semiHidden/>
    <w:rsid w:val="006D43F6"/>
    <w:rPr>
      <w:sz w:val="20"/>
    </w:rPr>
  </w:style>
  <w:style w:type="paragraph" w:styleId="Fuzeile">
    <w:name w:val="footer"/>
    <w:basedOn w:val="Standard"/>
    <w:rsid w:val="006D43F6"/>
    <w:pPr>
      <w:tabs>
        <w:tab w:val="center" w:pos="4819"/>
        <w:tab w:val="right" w:pos="9071"/>
      </w:tabs>
    </w:pPr>
  </w:style>
  <w:style w:type="paragraph" w:styleId="Kopfzeile">
    <w:name w:val="header"/>
    <w:basedOn w:val="Standard"/>
    <w:rsid w:val="006D43F6"/>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character" w:customStyle="1" w:styleId="KommentartextZchn">
    <w:name w:val="Kommentartext Zchn"/>
    <w:basedOn w:val="Absatz-Standardschriftart"/>
    <w:link w:val="Kommentartext"/>
    <w:semiHidden/>
    <w:rsid w:val="004F5184"/>
    <w:rPr>
      <w:rFonts w:ascii="Arial" w:hAnsi="Arial"/>
    </w:rPr>
  </w:style>
  <w:style w:type="paragraph" w:styleId="Listenabsatz">
    <w:name w:val="List Paragraph"/>
    <w:basedOn w:val="Standard"/>
    <w:uiPriority w:val="34"/>
    <w:qFormat/>
    <w:rsid w:val="004F5184"/>
    <w:pPr>
      <w:ind w:left="720"/>
      <w:contextualSpacing/>
    </w:pPr>
  </w:style>
  <w:style w:type="character" w:customStyle="1" w:styleId="berschrift2Zchn">
    <w:name w:val="Überschrift 2 Zchn"/>
    <w:basedOn w:val="Absatz-Standardschriftart"/>
    <w:link w:val="berschrift2"/>
    <w:rsid w:val="0001628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776DD-632E-4DE2-9394-68227EC1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8FE29CED.dotm</Template>
  <TotalTime>0</TotalTime>
  <Pages>3</Pages>
  <Words>780</Words>
  <Characters>5562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5</cp:revision>
  <cp:lastPrinted>2017-11-14T12:48:00Z</cp:lastPrinted>
  <dcterms:created xsi:type="dcterms:W3CDTF">2017-11-08T09:09:00Z</dcterms:created>
  <dcterms:modified xsi:type="dcterms:W3CDTF">2017-11-14T12:49:00Z</dcterms:modified>
</cp:coreProperties>
</file>