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6AC54" w14:textId="3CF2700B" w:rsidR="003D7B0B" w:rsidRPr="006E0575" w:rsidRDefault="003D7B0B" w:rsidP="00397717">
      <w:pPr>
        <w:jc w:val="right"/>
      </w:pPr>
      <w:r w:rsidRPr="006E0575">
        <w:t xml:space="preserve">Anlage </w:t>
      </w:r>
      <w:r w:rsidR="00A46DB6">
        <w:t>9</w:t>
      </w:r>
      <w:r w:rsidRPr="006E0575">
        <w:t xml:space="preserve"> zur GRDrs</w:t>
      </w:r>
      <w:r w:rsidR="00A75274">
        <w:t>.</w:t>
      </w:r>
      <w:r w:rsidRPr="006E0575">
        <w:t xml:space="preserve"> </w:t>
      </w:r>
      <w:r w:rsidR="00A75274">
        <w:t>822</w:t>
      </w:r>
      <w:r w:rsidR="005F5B3D">
        <w:t>/20</w:t>
      </w:r>
      <w:r w:rsidR="00AE7B02">
        <w:t>2</w:t>
      </w:r>
      <w:r w:rsidR="00026253">
        <w:t>3</w:t>
      </w:r>
    </w:p>
    <w:p w14:paraId="3D1E0681" w14:textId="77777777" w:rsidR="003D7B0B" w:rsidRPr="006E0575" w:rsidRDefault="003D7B0B" w:rsidP="006E0575"/>
    <w:p w14:paraId="43EC6399" w14:textId="77777777" w:rsidR="003D7B0B" w:rsidRPr="006E0575" w:rsidRDefault="003D7B0B" w:rsidP="006E0575"/>
    <w:p w14:paraId="5EB5AB2A" w14:textId="77777777"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14:paraId="7A744824" w14:textId="77777777"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4D0DCB">
        <w:rPr>
          <w:b/>
          <w:sz w:val="36"/>
          <w:szCs w:val="36"/>
          <w:u w:val="single"/>
        </w:rPr>
        <w:t>4</w:t>
      </w:r>
    </w:p>
    <w:p w14:paraId="5A007DC5" w14:textId="77777777" w:rsidR="003D7B0B" w:rsidRDefault="003D7B0B" w:rsidP="006E0575">
      <w:pPr>
        <w:rPr>
          <w:u w:val="single"/>
        </w:rPr>
      </w:pPr>
    </w:p>
    <w:p w14:paraId="5FE5CF99" w14:textId="77777777"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5F5B3D" w:rsidRPr="006E0575" w14:paraId="287080EB" w14:textId="77777777" w:rsidTr="0096038F">
        <w:trPr>
          <w:tblHeader/>
        </w:trPr>
        <w:tc>
          <w:tcPr>
            <w:tcW w:w="1701" w:type="dxa"/>
            <w:shd w:val="pct12" w:color="auto" w:fill="FFFFFF"/>
          </w:tcPr>
          <w:p w14:paraId="0E5A030B" w14:textId="77777777"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14:paraId="2E336409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14:paraId="0491791A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14:paraId="5BDF8707" w14:textId="77777777"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14:paraId="294BF44E" w14:textId="77777777"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14:paraId="61E8293A" w14:textId="77777777"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14:paraId="22828E8F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14:paraId="05A3BA6D" w14:textId="77777777"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14:paraId="75339D18" w14:textId="77777777"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14:paraId="581E9615" w14:textId="77777777"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14:paraId="7AEFC08D" w14:textId="77777777" w:rsidTr="0096038F">
        <w:tc>
          <w:tcPr>
            <w:tcW w:w="1701" w:type="dxa"/>
          </w:tcPr>
          <w:p w14:paraId="7F0E7050" w14:textId="77777777" w:rsidR="005F5B3D" w:rsidRDefault="005F5B3D" w:rsidP="0030686C">
            <w:pPr>
              <w:rPr>
                <w:sz w:val="20"/>
              </w:rPr>
            </w:pPr>
          </w:p>
          <w:p w14:paraId="67F7AF10" w14:textId="0921D839" w:rsidR="005F5B3D" w:rsidRDefault="002F3BE6" w:rsidP="0030686C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="002A2C29">
              <w:rPr>
                <w:sz w:val="20"/>
              </w:rPr>
              <w:t>.1-2</w:t>
            </w:r>
          </w:p>
          <w:p w14:paraId="2403D859" w14:textId="77777777" w:rsidR="0011112B" w:rsidRDefault="0011112B" w:rsidP="0030686C">
            <w:pPr>
              <w:rPr>
                <w:sz w:val="20"/>
              </w:rPr>
            </w:pPr>
          </w:p>
          <w:p w14:paraId="428F9883" w14:textId="7270C816" w:rsidR="0011112B" w:rsidRDefault="00D21DD0" w:rsidP="0030686C">
            <w:pPr>
              <w:rPr>
                <w:sz w:val="20"/>
              </w:rPr>
            </w:pPr>
            <w:r>
              <w:rPr>
                <w:sz w:val="20"/>
              </w:rPr>
              <w:t>4012</w:t>
            </w:r>
            <w:r w:rsidR="002A2C29">
              <w:rPr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</w:p>
          <w:p w14:paraId="19DAACB0" w14:textId="77777777"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51FA045" w14:textId="77777777" w:rsidR="005F5B3D" w:rsidRDefault="005F5B3D" w:rsidP="0030686C">
            <w:pPr>
              <w:rPr>
                <w:sz w:val="20"/>
              </w:rPr>
            </w:pPr>
          </w:p>
          <w:p w14:paraId="59546A15" w14:textId="77777777" w:rsidR="005F5B3D" w:rsidRPr="006E0575" w:rsidRDefault="00D21DD0" w:rsidP="0030686C">
            <w:pPr>
              <w:rPr>
                <w:sz w:val="20"/>
              </w:rPr>
            </w:pPr>
            <w:r>
              <w:rPr>
                <w:sz w:val="20"/>
              </w:rPr>
              <w:t>Schulverwaltungsamt</w:t>
            </w:r>
          </w:p>
        </w:tc>
        <w:tc>
          <w:tcPr>
            <w:tcW w:w="851" w:type="dxa"/>
          </w:tcPr>
          <w:p w14:paraId="16767A94" w14:textId="77777777" w:rsidR="005F5B3D" w:rsidRDefault="005F5B3D" w:rsidP="0030686C">
            <w:pPr>
              <w:rPr>
                <w:sz w:val="20"/>
              </w:rPr>
            </w:pPr>
          </w:p>
          <w:p w14:paraId="021EB04B" w14:textId="5FB56DF1" w:rsidR="00D21DD0" w:rsidRPr="006E0575" w:rsidRDefault="001B5076" w:rsidP="0030686C">
            <w:pPr>
              <w:rPr>
                <w:sz w:val="20"/>
              </w:rPr>
            </w:pPr>
            <w:r>
              <w:rPr>
                <w:sz w:val="20"/>
              </w:rPr>
              <w:t>EG 9a</w:t>
            </w:r>
          </w:p>
        </w:tc>
        <w:tc>
          <w:tcPr>
            <w:tcW w:w="1701" w:type="dxa"/>
          </w:tcPr>
          <w:p w14:paraId="6E5DE3B7" w14:textId="77777777" w:rsidR="005F5B3D" w:rsidRDefault="005F5B3D" w:rsidP="0030686C">
            <w:pPr>
              <w:rPr>
                <w:sz w:val="20"/>
              </w:rPr>
            </w:pPr>
          </w:p>
          <w:p w14:paraId="22F5E5B6" w14:textId="65160F18" w:rsidR="005F5B3D" w:rsidRPr="006E0575" w:rsidRDefault="00A75274" w:rsidP="0030686C">
            <w:pPr>
              <w:rPr>
                <w:sz w:val="20"/>
              </w:rPr>
            </w:pPr>
            <w:r>
              <w:rPr>
                <w:sz w:val="20"/>
              </w:rPr>
              <w:t>Sachbearbeiter/ -</w:t>
            </w:r>
            <w:r w:rsidR="00D21DD0">
              <w:rPr>
                <w:sz w:val="20"/>
              </w:rPr>
              <w:t>in</w:t>
            </w:r>
          </w:p>
        </w:tc>
        <w:tc>
          <w:tcPr>
            <w:tcW w:w="851" w:type="dxa"/>
            <w:shd w:val="pct12" w:color="auto" w:fill="FFFFFF"/>
          </w:tcPr>
          <w:p w14:paraId="4E7A35D5" w14:textId="77777777" w:rsidR="005F5B3D" w:rsidRDefault="005F5B3D" w:rsidP="0030686C">
            <w:pPr>
              <w:rPr>
                <w:sz w:val="20"/>
              </w:rPr>
            </w:pPr>
          </w:p>
          <w:p w14:paraId="4170077E" w14:textId="05AC997B" w:rsidR="005F5B3D" w:rsidRPr="006E0575" w:rsidRDefault="00D21DD0" w:rsidP="00DF00E4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DF00E4"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01DC41D2" w14:textId="77777777" w:rsidR="005F5B3D" w:rsidRDefault="005F5B3D" w:rsidP="0030686C">
            <w:pPr>
              <w:rPr>
                <w:sz w:val="20"/>
              </w:rPr>
            </w:pPr>
          </w:p>
          <w:p w14:paraId="79D5CEFB" w14:textId="7A145807" w:rsidR="005F5B3D" w:rsidRPr="006E0575" w:rsidRDefault="0072799A" w:rsidP="0030686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B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6253">
              <w:rPr>
                <w:noProof/>
                <w:sz w:val="20"/>
              </w:rPr>
              <w:t> </w:t>
            </w:r>
            <w:r w:rsidR="00856253">
              <w:rPr>
                <w:noProof/>
                <w:sz w:val="20"/>
              </w:rPr>
              <w:t> </w:t>
            </w:r>
            <w:r w:rsidR="00856253">
              <w:rPr>
                <w:noProof/>
                <w:sz w:val="20"/>
              </w:rPr>
              <w:t> </w:t>
            </w:r>
            <w:r w:rsidR="00856253">
              <w:rPr>
                <w:noProof/>
                <w:sz w:val="20"/>
              </w:rPr>
              <w:t> </w:t>
            </w:r>
            <w:r w:rsidR="0085625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8" w:type="dxa"/>
          </w:tcPr>
          <w:p w14:paraId="1A726E25" w14:textId="77777777" w:rsidR="005F5B3D" w:rsidRDefault="005F5B3D" w:rsidP="0030686C">
            <w:pPr>
              <w:rPr>
                <w:sz w:val="20"/>
              </w:rPr>
            </w:pPr>
          </w:p>
          <w:p w14:paraId="79ED59BA" w14:textId="475BD98D" w:rsidR="005F5B3D" w:rsidRDefault="00282138" w:rsidP="0030686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75274">
              <w:rPr>
                <w:sz w:val="20"/>
              </w:rPr>
              <w:t>32</w:t>
            </w:r>
            <w:r w:rsidR="00DF00E4">
              <w:rPr>
                <w:sz w:val="20"/>
              </w:rPr>
              <w:t>.</w:t>
            </w:r>
            <w:r w:rsidR="00A75274">
              <w:rPr>
                <w:sz w:val="20"/>
              </w:rPr>
              <w:t>7</w:t>
            </w:r>
            <w:r w:rsidR="00DF00E4">
              <w:rPr>
                <w:sz w:val="20"/>
              </w:rPr>
              <w:t>00</w:t>
            </w:r>
          </w:p>
          <w:p w14:paraId="32F84EB2" w14:textId="49D95161" w:rsidR="00282138" w:rsidRPr="006E0575" w:rsidRDefault="00282138" w:rsidP="0030686C">
            <w:pPr>
              <w:rPr>
                <w:sz w:val="20"/>
              </w:rPr>
            </w:pPr>
          </w:p>
        </w:tc>
      </w:tr>
    </w:tbl>
    <w:p w14:paraId="5ABAE2C6" w14:textId="21983034"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14:paraId="4E9AA204" w14:textId="77777777" w:rsidR="003D7B0B" w:rsidRDefault="003D7B0B" w:rsidP="00884D6C"/>
    <w:p w14:paraId="7B5826A8" w14:textId="5F1E1BC8" w:rsidR="002A2C29" w:rsidRDefault="002A2C29" w:rsidP="00884D6C">
      <w:r>
        <w:t>Der</w:t>
      </w:r>
      <w:r w:rsidR="00D21DD0">
        <w:t xml:space="preserve"> Schaffung eines Stellenanteils von 0,</w:t>
      </w:r>
      <w:r w:rsidR="00DF00E4">
        <w:t xml:space="preserve">5 </w:t>
      </w:r>
      <w:r w:rsidR="00D21DD0">
        <w:t xml:space="preserve">für das Sachgebiet Allgemeine Haushaltsangelegenheiten bei der Abteilung Verwaltung des Schulverwaltungsamts </w:t>
      </w:r>
      <w:r>
        <w:t>wird zugestimmt</w:t>
      </w:r>
      <w:r w:rsidR="00D21DD0">
        <w:t xml:space="preserve">. </w:t>
      </w:r>
    </w:p>
    <w:p w14:paraId="1CD23E9A" w14:textId="77777777"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14:paraId="48B861A7" w14:textId="77777777" w:rsidR="003D7B0B" w:rsidRDefault="003D7B0B" w:rsidP="00884D6C"/>
    <w:p w14:paraId="648716FC" w14:textId="0DB8CB12" w:rsidR="00D21DD0" w:rsidRDefault="002A2C29" w:rsidP="00D21DD0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  <w:r>
        <w:rPr>
          <w:rFonts w:cs="Arial"/>
          <w:color w:val="000000"/>
        </w:rPr>
        <w:t>Das Schaffungskriterium „erhebliche Arbeitsvermehrung“ ist für die Schaffung von 0,5 Stellen erfüllt.</w:t>
      </w:r>
    </w:p>
    <w:p w14:paraId="2D89C127" w14:textId="77777777" w:rsidR="003D7B0B" w:rsidRDefault="003D7B0B" w:rsidP="00884D6C">
      <w:pPr>
        <w:pStyle w:val="berschrift1"/>
      </w:pPr>
      <w:r>
        <w:t>3</w:t>
      </w:r>
      <w:r>
        <w:tab/>
        <w:t>Bedarf</w:t>
      </w:r>
    </w:p>
    <w:p w14:paraId="18C3B576" w14:textId="77777777"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14:paraId="27151D80" w14:textId="77777777" w:rsidR="003D7B0B" w:rsidRPr="00884D6C" w:rsidRDefault="003D7B0B" w:rsidP="00884D6C"/>
    <w:p w14:paraId="701982BA" w14:textId="56BADE39" w:rsidR="006E0575" w:rsidRDefault="00D21DD0" w:rsidP="00884D6C">
      <w:r>
        <w:t>Seit dem Jahr 2016 hat sich die Zahl der Schulen</w:t>
      </w:r>
      <w:r w:rsidR="001B5076">
        <w:t>,</w:t>
      </w:r>
      <w:r>
        <w:t xml:space="preserve"> an denen durch Caterer Mittagessen bereitgestellt wird</w:t>
      </w:r>
      <w:r w:rsidR="00E44FB2">
        <w:t>,</w:t>
      </w:r>
      <w:r>
        <w:t xml:space="preserve"> von 55 Schulen auf 7</w:t>
      </w:r>
      <w:r w:rsidR="002D6876">
        <w:t>5</w:t>
      </w:r>
      <w:r>
        <w:t xml:space="preserve"> Schulen erhöht.</w:t>
      </w:r>
      <w:r w:rsidR="00AC5D6A">
        <w:t xml:space="preserve"> Die eingehenden Rechnungen der Caterer müssen im Sachgebiet Allgemeine Haushaltsangelegenheiten auf </w:t>
      </w:r>
      <w:r w:rsidR="001B5076">
        <w:t>i</w:t>
      </w:r>
      <w:r w:rsidR="00AC5D6A">
        <w:t>hre Richtigkeit geprüft werden (Preise der Caterer, Anzahl der Mittagessen pro Monat, Anzahl der BonusCard-Esser)</w:t>
      </w:r>
      <w:r w:rsidR="001B5076">
        <w:t>,</w:t>
      </w:r>
      <w:r w:rsidR="00AC5D6A">
        <w:t xml:space="preserve"> bevor eine Auszahlung erfolgen kann. Der </w:t>
      </w:r>
      <w:r w:rsidR="001B5076">
        <w:t>Arbeitsa</w:t>
      </w:r>
      <w:r w:rsidR="00AC5D6A">
        <w:t xml:space="preserve">ufwand pro Rechnung ist hier sehr hoch, da die Listen der Essensteilnehmer unabhängig von den Caterer-Rechnungen von den Schulsekretärinnen zunächst auf ihre Richtigkeit geprüft und </w:t>
      </w:r>
      <w:r w:rsidR="002A2C29">
        <w:t xml:space="preserve">für die interne Weiterbearbeitung </w:t>
      </w:r>
      <w:r w:rsidR="00EF0D9F">
        <w:t>vorbereitet</w:t>
      </w:r>
      <w:r w:rsidR="00AC5D6A">
        <w:t xml:space="preserve"> werden müssen. Dies zieht eine Reihe von Rückfragen und Recherchearbeit nach sich</w:t>
      </w:r>
      <w:r w:rsidR="002A2C29">
        <w:t>.</w:t>
      </w:r>
      <w:r w:rsidR="00AC5D6A">
        <w:t xml:space="preserve"> </w:t>
      </w:r>
    </w:p>
    <w:p w14:paraId="4211C5A8" w14:textId="77777777" w:rsidR="00E44FB2" w:rsidRDefault="00E44FB2" w:rsidP="00884D6C"/>
    <w:p w14:paraId="1DB90180" w14:textId="3D58AC2E" w:rsidR="00AC5D6A" w:rsidRDefault="00AC5D6A" w:rsidP="00884D6C">
      <w:r>
        <w:t xml:space="preserve">Durch die Zunahme der Schulen fallen hier statt ehemals 660 Rechnungen pro Jahr mittlerweile </w:t>
      </w:r>
      <w:r w:rsidR="00CD72C9">
        <w:t>900</w:t>
      </w:r>
      <w:r>
        <w:t xml:space="preserve"> Rechnungen an. Dies entspricht einer Zunahme von </w:t>
      </w:r>
      <w:r w:rsidR="004B6655">
        <w:t>3</w:t>
      </w:r>
      <w:r w:rsidR="00CD72C9">
        <w:t>6,4</w:t>
      </w:r>
      <w:r w:rsidR="004B6655">
        <w:t xml:space="preserve"> %, die mit der vorhandenen 0,5 Stelle nicht mehr bewältigt werden kann.</w:t>
      </w:r>
      <w:r w:rsidR="00106113">
        <w:t xml:space="preserve"> </w:t>
      </w:r>
      <w:r w:rsidR="005204AB">
        <w:t xml:space="preserve">Doch nicht nur die reine Anzahl der abzuwickelnden Fälle hat sich erhöht, vielmehr </w:t>
      </w:r>
      <w:r w:rsidR="00A75274">
        <w:t xml:space="preserve">hat </w:t>
      </w:r>
      <w:r w:rsidR="00106113">
        <w:t xml:space="preserve">sich </w:t>
      </w:r>
      <w:r w:rsidR="00A75274">
        <w:t xml:space="preserve">auch </w:t>
      </w:r>
      <w:r w:rsidR="00106113">
        <w:t xml:space="preserve">die </w:t>
      </w:r>
      <w:r w:rsidR="005204AB">
        <w:t xml:space="preserve">durchschnittliche Bearbeitungszeit </w:t>
      </w:r>
      <w:r w:rsidR="00A75274">
        <w:t xml:space="preserve">erheblich </w:t>
      </w:r>
      <w:r w:rsidR="005204AB">
        <w:t>erhöht.</w:t>
      </w:r>
      <w:r w:rsidR="00106113">
        <w:t xml:space="preserve"> Das heißt, für viele Schulen wird der Aufwand </w:t>
      </w:r>
      <w:r w:rsidR="00856253">
        <w:lastRenderedPageBreak/>
        <w:t xml:space="preserve">immer höher. </w:t>
      </w:r>
      <w:r w:rsidR="00106113">
        <w:t xml:space="preserve">Ursächlich dafür ist unter anderem die </w:t>
      </w:r>
      <w:r w:rsidR="005204AB">
        <w:t xml:space="preserve">schleppende </w:t>
      </w:r>
      <w:r w:rsidR="00106113">
        <w:t>Abrechnung durch die Caterer und die daraus folgende Schwierigkeit</w:t>
      </w:r>
      <w:r w:rsidR="00E44FB2">
        <w:t>,</w:t>
      </w:r>
      <w:r w:rsidR="00106113">
        <w:t xml:space="preserve"> nach </w:t>
      </w:r>
      <w:r w:rsidR="005204AB">
        <w:t xml:space="preserve">einigen </w:t>
      </w:r>
      <w:r w:rsidR="00106113">
        <w:t xml:space="preserve">Monaten </w:t>
      </w:r>
      <w:r w:rsidR="00106113" w:rsidRPr="007214BD">
        <w:t xml:space="preserve">die </w:t>
      </w:r>
      <w:r w:rsidR="00BB58EA" w:rsidRPr="007214BD">
        <w:t xml:space="preserve">Daten </w:t>
      </w:r>
      <w:r w:rsidR="00106113" w:rsidRPr="007214BD">
        <w:t xml:space="preserve">mit den </w:t>
      </w:r>
      <w:r w:rsidR="00BB58EA" w:rsidRPr="007214BD">
        <w:t>Schulen</w:t>
      </w:r>
      <w:r w:rsidR="00106113" w:rsidRPr="007214BD">
        <w:t xml:space="preserve"> </w:t>
      </w:r>
      <w:r w:rsidR="00796403">
        <w:t xml:space="preserve">abzugleichen. </w:t>
      </w:r>
    </w:p>
    <w:p w14:paraId="36A1D5B1" w14:textId="77777777" w:rsidR="0066229D" w:rsidRDefault="0066229D" w:rsidP="00884D6C"/>
    <w:p w14:paraId="3E21D7CE" w14:textId="265F5671" w:rsidR="0066229D" w:rsidRDefault="0066229D" w:rsidP="00884D6C">
      <w:r>
        <w:t>Im Zusammenhang mit dem Rechtsanspruch auf Ganztagsangebote im Grundschulbe</w:t>
      </w:r>
      <w:r w:rsidR="00856253">
        <w:t>reich ab dem Schuljahr 2026/202</w:t>
      </w:r>
      <w:bookmarkStart w:id="0" w:name="_GoBack"/>
      <w:bookmarkEnd w:id="0"/>
      <w:r>
        <w:t xml:space="preserve">7 ist in Zukunft auch damit zu rechnen, dass noch mehr Schulen ein Mittagessen anbieten und sich damit die Zahl der zu prüfenden </w:t>
      </w:r>
      <w:r w:rsidR="00D24A5C">
        <w:t>Bon</w:t>
      </w:r>
      <w:r>
        <w:t>uscard-Listen und Caterer-</w:t>
      </w:r>
      <w:r w:rsidR="00D24A5C">
        <w:t>R</w:t>
      </w:r>
      <w:r>
        <w:t>echnungen pro Jahr erhöht.</w:t>
      </w:r>
    </w:p>
    <w:p w14:paraId="12C2AA23" w14:textId="00A187C9" w:rsidR="00E44FB2" w:rsidRDefault="00796403" w:rsidP="00E44FB2">
      <w:pPr>
        <w:pStyle w:val="berschrift2"/>
        <w:ind w:left="0" w:firstLine="0"/>
        <w:rPr>
          <w:b w:val="0"/>
        </w:rPr>
      </w:pPr>
      <w:r>
        <w:rPr>
          <w:b w:val="0"/>
        </w:rPr>
        <w:t xml:space="preserve">Aktuell ergibt sich ein rechnerischer </w:t>
      </w:r>
      <w:r w:rsidR="00E44FB2" w:rsidRPr="00E44FB2">
        <w:rPr>
          <w:b w:val="0"/>
        </w:rPr>
        <w:t>Stellen</w:t>
      </w:r>
      <w:r>
        <w:rPr>
          <w:b w:val="0"/>
        </w:rPr>
        <w:t>mehr</w:t>
      </w:r>
      <w:r w:rsidR="00E44FB2">
        <w:rPr>
          <w:b w:val="0"/>
        </w:rPr>
        <w:t>bedarf von 0,</w:t>
      </w:r>
      <w:r w:rsidR="00E44FB2" w:rsidRPr="00E44FB2">
        <w:rPr>
          <w:b w:val="0"/>
        </w:rPr>
        <w:t>41</w:t>
      </w:r>
      <w:r w:rsidR="00E44FB2">
        <w:rPr>
          <w:b w:val="0"/>
        </w:rPr>
        <w:t xml:space="preserve"> Stellenanteilen, </w:t>
      </w:r>
      <w:r>
        <w:rPr>
          <w:b w:val="0"/>
        </w:rPr>
        <w:t xml:space="preserve">perspektivisch ist aber </w:t>
      </w:r>
      <w:r w:rsidR="00EF0D9F">
        <w:rPr>
          <w:b w:val="0"/>
        </w:rPr>
        <w:t>im</w:t>
      </w:r>
      <w:r>
        <w:rPr>
          <w:b w:val="0"/>
        </w:rPr>
        <w:t xml:space="preserve"> Hinblick auf den Ganztags-Betreuungsanspruch mit einer weiteren Zunahme der Arbeitsmenge zu rechnen, weshalb </w:t>
      </w:r>
      <w:r w:rsidR="00EF0D9F">
        <w:rPr>
          <w:b w:val="0"/>
        </w:rPr>
        <w:t xml:space="preserve">vorausschauend </w:t>
      </w:r>
      <w:r w:rsidR="003C493B">
        <w:rPr>
          <w:b w:val="0"/>
        </w:rPr>
        <w:t>0,5 Stellen beantragt</w:t>
      </w:r>
      <w:r>
        <w:rPr>
          <w:b w:val="0"/>
        </w:rPr>
        <w:t xml:space="preserve"> werden</w:t>
      </w:r>
      <w:r w:rsidR="003C493B">
        <w:rPr>
          <w:b w:val="0"/>
        </w:rPr>
        <w:t>.</w:t>
      </w:r>
    </w:p>
    <w:p w14:paraId="15C9CC7E" w14:textId="6A4B1E13"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14:paraId="79B6B930" w14:textId="77777777" w:rsidR="003D7B0B" w:rsidRDefault="003D7B0B" w:rsidP="00884D6C"/>
    <w:p w14:paraId="71EB6836" w14:textId="31A2FB36" w:rsidR="003D7B0B" w:rsidRDefault="00103701" w:rsidP="00884D6C">
      <w:r>
        <w:t xml:space="preserve">Die Aufgabe wird derzeit mit nur einer </w:t>
      </w:r>
      <w:r w:rsidR="00A75274">
        <w:t>0,5-</w:t>
      </w:r>
      <w:r>
        <w:t xml:space="preserve">Stelle erledigt. </w:t>
      </w:r>
      <w:r w:rsidR="004B6655">
        <w:t xml:space="preserve">Aus Zeitmangel </w:t>
      </w:r>
      <w:r w:rsidR="00296B6F">
        <w:t>k</w:t>
      </w:r>
      <w:r>
        <w:t xml:space="preserve">ann die Abwicklung der Bonuscard-Mittagessen daher </w:t>
      </w:r>
      <w:r w:rsidR="00296B6F">
        <w:t xml:space="preserve">nur mit teilweise großer zeitlicher Verzögerung </w:t>
      </w:r>
      <w:r>
        <w:t>erfolgen.</w:t>
      </w:r>
      <w:r w:rsidR="00296B6F">
        <w:t xml:space="preserve"> </w:t>
      </w:r>
      <w:r>
        <w:t xml:space="preserve">Dies zieht </w:t>
      </w:r>
      <w:r w:rsidR="00E44FB2">
        <w:t>u.</w:t>
      </w:r>
      <w:r w:rsidR="00A75274">
        <w:t xml:space="preserve"> </w:t>
      </w:r>
      <w:r w:rsidR="00E44FB2">
        <w:t xml:space="preserve">a. </w:t>
      </w:r>
      <w:r>
        <w:t>häufige Rückfragen in der DIC nach sich, da sich dadurch auch die Bezahlung der Caterer-Rechnungen verzögert.</w:t>
      </w:r>
    </w:p>
    <w:p w14:paraId="6F09D088" w14:textId="77777777"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14:paraId="6691E76B" w14:textId="77777777" w:rsidR="003D7B0B" w:rsidRDefault="003D7B0B" w:rsidP="00884D6C"/>
    <w:p w14:paraId="0667D103" w14:textId="056CC3B4" w:rsidR="00296B6F" w:rsidRDefault="00296B6F" w:rsidP="00884D6C">
      <w:r>
        <w:t xml:space="preserve">Ohne den zusätzlichen Stellenanteil ist davon auszugehen, dass die </w:t>
      </w:r>
      <w:r w:rsidR="00103701">
        <w:t>Abwicklung der Bonuscard-Essen</w:t>
      </w:r>
      <w:r>
        <w:t xml:space="preserve"> nicht fristgerecht </w:t>
      </w:r>
      <w:r w:rsidR="00103701">
        <w:t>erfolgt.</w:t>
      </w:r>
      <w:r>
        <w:t xml:space="preserve"> Die</w:t>
      </w:r>
      <w:r w:rsidR="00156488">
        <w:t>s</w:t>
      </w:r>
      <w:r>
        <w:t xml:space="preserve"> führt zu zusätzlichen Mehraufwendungen durch Mahnkosten, die vermeidbar sind.</w:t>
      </w:r>
    </w:p>
    <w:p w14:paraId="57CA0B19" w14:textId="77777777" w:rsidR="00296B6F" w:rsidRDefault="00296B6F" w:rsidP="00884D6C"/>
    <w:p w14:paraId="7D18A1F5" w14:textId="77777777" w:rsidR="003D7B0B" w:rsidRDefault="00296B6F" w:rsidP="00884D6C">
      <w:r>
        <w:t>Zudem kann die Anzahl der BonusCard-Essensteilnehmer nicht rechtzeitig an das JobCenter gemeldet werden, so dass die Erstattung der Kosten für d</w:t>
      </w:r>
      <w:r w:rsidR="003B0998">
        <w:t xml:space="preserve">ie </w:t>
      </w:r>
      <w:r>
        <w:t xml:space="preserve">Beköstigung nicht über </w:t>
      </w:r>
      <w:r w:rsidR="003B0998">
        <w:t>das Bildungs- und Teilhabepaket des Bundes</w:t>
      </w:r>
      <w:r>
        <w:t xml:space="preserve"> erfolgen kann und damit Einnahmen </w:t>
      </w:r>
      <w:r w:rsidR="003B0998">
        <w:t>im städtischen Haushalt fehlen.</w:t>
      </w:r>
    </w:p>
    <w:p w14:paraId="350A3914" w14:textId="77777777"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14:paraId="643C7E85" w14:textId="77777777" w:rsidR="003D7B0B" w:rsidRDefault="003D7B0B" w:rsidP="00884D6C"/>
    <w:p w14:paraId="7FCE8E60" w14:textId="77777777" w:rsidR="00DE362D" w:rsidRDefault="00156488" w:rsidP="00884D6C">
      <w:r>
        <w:t>keine</w:t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325F3" w14:textId="77777777" w:rsidR="00D6301E" w:rsidRDefault="00D6301E">
      <w:r>
        <w:separator/>
      </w:r>
    </w:p>
  </w:endnote>
  <w:endnote w:type="continuationSeparator" w:id="0">
    <w:p w14:paraId="0C20050C" w14:textId="77777777" w:rsidR="00D6301E" w:rsidRDefault="00D6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91F9" w14:textId="77777777" w:rsidR="00D6301E" w:rsidRDefault="00D6301E">
      <w:r>
        <w:separator/>
      </w:r>
    </w:p>
  </w:footnote>
  <w:footnote w:type="continuationSeparator" w:id="0">
    <w:p w14:paraId="085296C0" w14:textId="77777777" w:rsidR="00D6301E" w:rsidRDefault="00D6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2C071" w14:textId="553923F1"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856253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14:paraId="308D76E9" w14:textId="77777777"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D0"/>
    <w:rsid w:val="00026253"/>
    <w:rsid w:val="00055758"/>
    <w:rsid w:val="00061F0B"/>
    <w:rsid w:val="000A1146"/>
    <w:rsid w:val="001034AF"/>
    <w:rsid w:val="00103701"/>
    <w:rsid w:val="00106113"/>
    <w:rsid w:val="0011112B"/>
    <w:rsid w:val="0014415D"/>
    <w:rsid w:val="00151488"/>
    <w:rsid w:val="00156488"/>
    <w:rsid w:val="00163034"/>
    <w:rsid w:val="00164678"/>
    <w:rsid w:val="00165C0D"/>
    <w:rsid w:val="00181857"/>
    <w:rsid w:val="00184EDC"/>
    <w:rsid w:val="00187DF9"/>
    <w:rsid w:val="00194770"/>
    <w:rsid w:val="001A5F9B"/>
    <w:rsid w:val="001B1742"/>
    <w:rsid w:val="001B5076"/>
    <w:rsid w:val="001F7237"/>
    <w:rsid w:val="002252A9"/>
    <w:rsid w:val="00282138"/>
    <w:rsid w:val="002924CB"/>
    <w:rsid w:val="00296B6F"/>
    <w:rsid w:val="002A20D1"/>
    <w:rsid w:val="002A2C29"/>
    <w:rsid w:val="002A4DE3"/>
    <w:rsid w:val="002B5955"/>
    <w:rsid w:val="002D45C0"/>
    <w:rsid w:val="002D6876"/>
    <w:rsid w:val="002F3BE6"/>
    <w:rsid w:val="0030686C"/>
    <w:rsid w:val="00326F12"/>
    <w:rsid w:val="00380937"/>
    <w:rsid w:val="003858BE"/>
    <w:rsid w:val="00397717"/>
    <w:rsid w:val="003B0998"/>
    <w:rsid w:val="003C493B"/>
    <w:rsid w:val="003D7B0B"/>
    <w:rsid w:val="003E0F4B"/>
    <w:rsid w:val="003F0FAA"/>
    <w:rsid w:val="0046565C"/>
    <w:rsid w:val="00470135"/>
    <w:rsid w:val="0047606A"/>
    <w:rsid w:val="004908B5"/>
    <w:rsid w:val="0049121B"/>
    <w:rsid w:val="004A1688"/>
    <w:rsid w:val="004B3782"/>
    <w:rsid w:val="004B6655"/>
    <w:rsid w:val="004B6796"/>
    <w:rsid w:val="004C164D"/>
    <w:rsid w:val="004D0DCB"/>
    <w:rsid w:val="00513756"/>
    <w:rsid w:val="005204AB"/>
    <w:rsid w:val="005A0A9D"/>
    <w:rsid w:val="005A56AA"/>
    <w:rsid w:val="005C4E26"/>
    <w:rsid w:val="005E19C6"/>
    <w:rsid w:val="005F5B3D"/>
    <w:rsid w:val="00606F80"/>
    <w:rsid w:val="00622CC7"/>
    <w:rsid w:val="0066229D"/>
    <w:rsid w:val="00687A41"/>
    <w:rsid w:val="006A406B"/>
    <w:rsid w:val="006B6D50"/>
    <w:rsid w:val="006E0575"/>
    <w:rsid w:val="007214BD"/>
    <w:rsid w:val="0072799A"/>
    <w:rsid w:val="00754659"/>
    <w:rsid w:val="00796403"/>
    <w:rsid w:val="007E3B79"/>
    <w:rsid w:val="008066EE"/>
    <w:rsid w:val="00817BB6"/>
    <w:rsid w:val="0082519C"/>
    <w:rsid w:val="00833816"/>
    <w:rsid w:val="00856253"/>
    <w:rsid w:val="00884D6C"/>
    <w:rsid w:val="008F0AE5"/>
    <w:rsid w:val="00920F00"/>
    <w:rsid w:val="009373F6"/>
    <w:rsid w:val="00946276"/>
    <w:rsid w:val="0096038F"/>
    <w:rsid w:val="00976588"/>
    <w:rsid w:val="00A27CA7"/>
    <w:rsid w:val="00A45B30"/>
    <w:rsid w:val="00A46DB6"/>
    <w:rsid w:val="00A71D0A"/>
    <w:rsid w:val="00A75274"/>
    <w:rsid w:val="00A77F1E"/>
    <w:rsid w:val="00A827CF"/>
    <w:rsid w:val="00A847C4"/>
    <w:rsid w:val="00AB389D"/>
    <w:rsid w:val="00AC5D6A"/>
    <w:rsid w:val="00AE7B02"/>
    <w:rsid w:val="00AF0DEA"/>
    <w:rsid w:val="00AF25E0"/>
    <w:rsid w:val="00B04290"/>
    <w:rsid w:val="00B20C73"/>
    <w:rsid w:val="00B80DEF"/>
    <w:rsid w:val="00B86A38"/>
    <w:rsid w:val="00B86BB5"/>
    <w:rsid w:val="00B91903"/>
    <w:rsid w:val="00BB58EA"/>
    <w:rsid w:val="00BC4669"/>
    <w:rsid w:val="00C10AC4"/>
    <w:rsid w:val="00C16EF1"/>
    <w:rsid w:val="00C448D3"/>
    <w:rsid w:val="00CD72C9"/>
    <w:rsid w:val="00CF62E5"/>
    <w:rsid w:val="00D21DD0"/>
    <w:rsid w:val="00D24A5C"/>
    <w:rsid w:val="00D6301E"/>
    <w:rsid w:val="00D66D3A"/>
    <w:rsid w:val="00D743D4"/>
    <w:rsid w:val="00DB3D6C"/>
    <w:rsid w:val="00DE362D"/>
    <w:rsid w:val="00DF00E4"/>
    <w:rsid w:val="00E014B6"/>
    <w:rsid w:val="00E1162F"/>
    <w:rsid w:val="00E11D5F"/>
    <w:rsid w:val="00E20E1F"/>
    <w:rsid w:val="00E42F96"/>
    <w:rsid w:val="00E44FB2"/>
    <w:rsid w:val="00E7118F"/>
    <w:rsid w:val="00E811DD"/>
    <w:rsid w:val="00EF0D9F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E447"/>
  <w15:docId w15:val="{6DBD5F18-2485-49FF-BA30-E307E6D0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semiHidden/>
    <w:unhideWhenUsed/>
    <w:rsid w:val="001B50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B507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1B507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B507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B507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B50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B50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00044\AppData\Local\Temp\notes65C8FE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Frindt-Horstmann, Beate</dc:creator>
  <cp:lastModifiedBy>Baumann, Gerhard</cp:lastModifiedBy>
  <cp:revision>14</cp:revision>
  <cp:lastPrinted>2023-10-19T14:55:00Z</cp:lastPrinted>
  <dcterms:created xsi:type="dcterms:W3CDTF">2022-12-16T09:22:00Z</dcterms:created>
  <dcterms:modified xsi:type="dcterms:W3CDTF">2023-10-19T14:58:00Z</dcterms:modified>
</cp:coreProperties>
</file>