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3B131B">
        <w:t>58</w:t>
      </w:r>
      <w:r w:rsidRPr="006E0575">
        <w:t xml:space="preserve"> zur GRDrs</w:t>
      </w:r>
      <w:r w:rsidR="00DE5466">
        <w:t>.</w:t>
      </w:r>
      <w:r w:rsidRPr="006E0575">
        <w:t xml:space="preserve"> </w:t>
      </w:r>
      <w:r w:rsidR="00DE5466">
        <w:t>822</w:t>
      </w:r>
      <w:r w:rsidR="00891246">
        <w:t>/20</w:t>
      </w:r>
      <w:r w:rsidR="00EB1FB5">
        <w:t>2</w:t>
      </w:r>
      <w:r w:rsidR="00DB315E">
        <w:t>3</w:t>
      </w:r>
    </w:p>
    <w:p w:rsidR="003D7B0B" w:rsidRPr="006E0575" w:rsidRDefault="003D7B0B" w:rsidP="006E0575"/>
    <w:p w:rsidR="003D7B0B" w:rsidRPr="006E0575" w:rsidRDefault="003D7B0B" w:rsidP="006E0575"/>
    <w:p w:rsidR="003D7B0B" w:rsidRPr="00796600" w:rsidRDefault="00FF2DC9" w:rsidP="00D15184">
      <w:pPr>
        <w:pStyle w:val="berschrift1"/>
        <w:tabs>
          <w:tab w:val="clear" w:pos="6521"/>
        </w:tabs>
      </w:pPr>
      <w:r w:rsidRPr="00796600">
        <w:t>We</w:t>
      </w:r>
      <w:r w:rsidRPr="00CE7D5B">
        <w:rPr>
          <w:u w:val="none"/>
        </w:rPr>
        <w:t>g</w:t>
      </w:r>
      <w:r w:rsidRPr="00796600">
        <w:t xml:space="preserve">fall </w:t>
      </w:r>
      <w:r w:rsidR="007B5FE2" w:rsidRPr="00796600">
        <w:t>eines</w:t>
      </w:r>
      <w:r w:rsidRPr="00796600">
        <w:t xml:space="preserve"> </w:t>
      </w:r>
      <w:r w:rsidR="00A34898" w:rsidRPr="00796600">
        <w:t>Stellen</w:t>
      </w:r>
      <w:r w:rsidRPr="00796600">
        <w:t>vermerk</w:t>
      </w:r>
      <w:r w:rsidR="007B5FE2" w:rsidRPr="00796600">
        <w:t>s</w:t>
      </w:r>
      <w:r w:rsidR="00A34898" w:rsidRPr="00796600">
        <w:br/>
      </w:r>
      <w:r w:rsidR="007B5FE2" w:rsidRPr="003A7A41">
        <w:t>zum</w:t>
      </w:r>
      <w:r w:rsidR="003D7B0B" w:rsidRPr="003A7A41">
        <w:t xml:space="preserve"> Stellenplan 20</w:t>
      </w:r>
      <w:r w:rsidR="00E37194">
        <w:t>2</w:t>
      </w:r>
      <w:r w:rsidR="00297A69">
        <w:t>4</w:t>
      </w:r>
    </w:p>
    <w:p w:rsidR="003D7B0B" w:rsidRDefault="003D7B0B" w:rsidP="006E0575"/>
    <w:p w:rsidR="003D7B0B" w:rsidRDefault="003D7B0B" w:rsidP="006E057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891246" w:rsidRPr="006E0575" w:rsidTr="00E24307">
        <w:trPr>
          <w:tblHeader/>
        </w:trPr>
        <w:tc>
          <w:tcPr>
            <w:tcW w:w="1701" w:type="dxa"/>
            <w:shd w:val="pct12" w:color="auto" w:fill="FFFFFF"/>
          </w:tcPr>
          <w:p w:rsidR="00CE7D5B" w:rsidRDefault="00E37194" w:rsidP="00E248AF">
            <w:pPr>
              <w:spacing w:before="120" w:after="120" w:line="200" w:lineRule="exact"/>
              <w:rPr>
                <w:sz w:val="16"/>
                <w:szCs w:val="16"/>
              </w:rPr>
            </w:pPr>
            <w:r>
              <w:rPr>
                <w:sz w:val="16"/>
                <w:szCs w:val="16"/>
              </w:rPr>
              <w:t>Stellennummer</w:t>
            </w:r>
            <w:r w:rsidR="002C2BCF">
              <w:rPr>
                <w:sz w:val="16"/>
                <w:szCs w:val="16"/>
              </w:rPr>
              <w:t>,</w:t>
            </w:r>
          </w:p>
          <w:p w:rsidR="00891246" w:rsidRPr="006E0575" w:rsidRDefault="009B0FBE" w:rsidP="00E248AF">
            <w:pPr>
              <w:spacing w:before="120" w:after="120" w:line="200" w:lineRule="exact"/>
              <w:rPr>
                <w:sz w:val="16"/>
                <w:szCs w:val="16"/>
              </w:rPr>
            </w:pPr>
            <w:r>
              <w:rPr>
                <w:sz w:val="16"/>
                <w:szCs w:val="16"/>
              </w:rPr>
              <w:t>Kostenstelle</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Amt</w:t>
            </w:r>
          </w:p>
        </w:tc>
        <w:tc>
          <w:tcPr>
            <w:tcW w:w="851" w:type="dxa"/>
            <w:shd w:val="pct12" w:color="auto" w:fill="FFFFFF"/>
          </w:tcPr>
          <w:p w:rsidR="00CE7D5B" w:rsidRDefault="007B5FE2" w:rsidP="00E248AF">
            <w:pPr>
              <w:spacing w:before="120" w:after="120" w:line="200" w:lineRule="exact"/>
              <w:rPr>
                <w:sz w:val="16"/>
                <w:szCs w:val="16"/>
              </w:rPr>
            </w:pPr>
            <w:r>
              <w:rPr>
                <w:sz w:val="16"/>
                <w:szCs w:val="16"/>
              </w:rPr>
              <w:t>BesGr.</w:t>
            </w:r>
          </w:p>
          <w:p w:rsidR="00CE7D5B" w:rsidRDefault="007B5FE2" w:rsidP="00E248AF">
            <w:pPr>
              <w:spacing w:before="120" w:after="120" w:line="200" w:lineRule="exact"/>
              <w:rPr>
                <w:sz w:val="16"/>
                <w:szCs w:val="16"/>
              </w:rPr>
            </w:pPr>
            <w:r>
              <w:rPr>
                <w:sz w:val="16"/>
                <w:szCs w:val="16"/>
              </w:rPr>
              <w:t>oder</w:t>
            </w:r>
          </w:p>
          <w:p w:rsidR="007B5FE2" w:rsidRPr="006E0575" w:rsidRDefault="007B5FE2" w:rsidP="00E248AF">
            <w:pPr>
              <w:spacing w:before="120" w:after="120" w:line="200" w:lineRule="exact"/>
              <w:rPr>
                <w:sz w:val="16"/>
                <w:szCs w:val="16"/>
              </w:rPr>
            </w:pPr>
            <w:r>
              <w:rPr>
                <w:sz w:val="16"/>
                <w:szCs w:val="16"/>
              </w:rPr>
              <w:t>EG</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851" w:type="dxa"/>
            <w:shd w:val="pct12" w:color="auto" w:fill="FFFFFF"/>
          </w:tcPr>
          <w:p w:rsidR="00891246" w:rsidRPr="006E0575" w:rsidRDefault="00891246" w:rsidP="00D60BEF">
            <w:pPr>
              <w:spacing w:before="120" w:after="120" w:line="200" w:lineRule="exact"/>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Pr="006E0575" w:rsidRDefault="00891246" w:rsidP="00E248AF">
            <w:pPr>
              <w:spacing w:before="120" w:after="120" w:line="200" w:lineRule="exact"/>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588" w:type="dxa"/>
            <w:shd w:val="pct12" w:color="auto" w:fill="FFFFFF"/>
          </w:tcPr>
          <w:p w:rsidR="00891246" w:rsidRPr="006E0575" w:rsidRDefault="00891246" w:rsidP="00D60BEF">
            <w:pPr>
              <w:spacing w:before="120" w:after="120" w:line="200" w:lineRule="exact"/>
              <w:rPr>
                <w:sz w:val="16"/>
                <w:szCs w:val="16"/>
              </w:rPr>
            </w:pPr>
            <w:r>
              <w:rPr>
                <w:sz w:val="16"/>
                <w:szCs w:val="16"/>
              </w:rPr>
              <w:t>d</w:t>
            </w:r>
            <w:r w:rsidRPr="006E0575">
              <w:rPr>
                <w:sz w:val="16"/>
                <w:szCs w:val="16"/>
              </w:rPr>
              <w:t>urchschnit</w:t>
            </w:r>
            <w:r>
              <w:rPr>
                <w:sz w:val="16"/>
                <w:szCs w:val="16"/>
              </w:rPr>
              <w:t>tl</w:t>
            </w:r>
            <w:r w:rsidR="00E248AF">
              <w:rPr>
                <w:sz w:val="16"/>
                <w:szCs w:val="16"/>
              </w:rPr>
              <w:t>icher</w:t>
            </w:r>
            <w:r>
              <w:rPr>
                <w:sz w:val="16"/>
                <w:szCs w:val="16"/>
              </w:rPr>
              <w:br/>
            </w:r>
            <w:r w:rsidRPr="006E0575">
              <w:rPr>
                <w:sz w:val="16"/>
                <w:szCs w:val="16"/>
              </w:rPr>
              <w:t>jährl</w:t>
            </w:r>
            <w:r w:rsidR="00E248AF">
              <w:rPr>
                <w:sz w:val="16"/>
                <w:szCs w:val="16"/>
              </w:rPr>
              <w:t>icher</w:t>
            </w:r>
            <w:r w:rsidR="00E248AF">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891246" w:rsidRPr="006E0575" w:rsidTr="00E24307">
        <w:tc>
          <w:tcPr>
            <w:tcW w:w="1701" w:type="dxa"/>
          </w:tcPr>
          <w:p w:rsidR="00891246" w:rsidRDefault="00891246" w:rsidP="00AD3A46">
            <w:pPr>
              <w:rPr>
                <w:sz w:val="20"/>
              </w:rPr>
            </w:pPr>
          </w:p>
          <w:p w:rsidR="00891246" w:rsidRDefault="003B131B" w:rsidP="00AD3A46">
            <w:pPr>
              <w:rPr>
                <w:sz w:val="20"/>
              </w:rPr>
            </w:pPr>
            <w:r>
              <w:rPr>
                <w:sz w:val="20"/>
              </w:rPr>
              <w:t>510.</w:t>
            </w:r>
            <w:r w:rsidR="009F2AD1">
              <w:rPr>
                <w:sz w:val="20"/>
              </w:rPr>
              <w:t>10</w:t>
            </w:r>
            <w:r w:rsidR="009F1654">
              <w:rPr>
                <w:sz w:val="20"/>
              </w:rPr>
              <w:t>1</w:t>
            </w:r>
            <w:r>
              <w:rPr>
                <w:sz w:val="20"/>
              </w:rPr>
              <w:t>.</w:t>
            </w:r>
            <w:r w:rsidR="009F1654">
              <w:rPr>
                <w:sz w:val="20"/>
              </w:rPr>
              <w:t>1</w:t>
            </w:r>
            <w:r w:rsidR="004E3DF1">
              <w:rPr>
                <w:sz w:val="20"/>
              </w:rPr>
              <w:t>6</w:t>
            </w:r>
            <w:r w:rsidR="0045369A">
              <w:rPr>
                <w:sz w:val="20"/>
              </w:rPr>
              <w:t>0</w:t>
            </w:r>
          </w:p>
          <w:p w:rsidR="00746A71" w:rsidRDefault="00746A71" w:rsidP="00AD3A46">
            <w:pPr>
              <w:rPr>
                <w:sz w:val="20"/>
              </w:rPr>
            </w:pPr>
          </w:p>
          <w:p w:rsidR="00746A71" w:rsidRDefault="00B15F1D" w:rsidP="00AD3A46">
            <w:pPr>
              <w:rPr>
                <w:sz w:val="20"/>
              </w:rPr>
            </w:pPr>
            <w:r>
              <w:rPr>
                <w:sz w:val="20"/>
              </w:rPr>
              <w:t>5100</w:t>
            </w:r>
            <w:r w:rsidR="00DE5466">
              <w:rPr>
                <w:sz w:val="20"/>
              </w:rPr>
              <w:t xml:space="preserve"> </w:t>
            </w:r>
            <w:r>
              <w:rPr>
                <w:sz w:val="20"/>
              </w:rPr>
              <w:t>1112</w:t>
            </w:r>
          </w:p>
          <w:p w:rsidR="00891246" w:rsidRPr="006E0575" w:rsidRDefault="00891246" w:rsidP="00AD3A46">
            <w:pPr>
              <w:rPr>
                <w:sz w:val="20"/>
              </w:rPr>
            </w:pPr>
          </w:p>
        </w:tc>
        <w:tc>
          <w:tcPr>
            <w:tcW w:w="1701" w:type="dxa"/>
          </w:tcPr>
          <w:p w:rsidR="00891246" w:rsidRDefault="00891246" w:rsidP="00AD3A46">
            <w:pPr>
              <w:rPr>
                <w:sz w:val="20"/>
              </w:rPr>
            </w:pPr>
          </w:p>
          <w:p w:rsidR="00891246" w:rsidRPr="006E0575" w:rsidRDefault="009F2AD1" w:rsidP="00AD3A46">
            <w:pPr>
              <w:rPr>
                <w:sz w:val="20"/>
              </w:rPr>
            </w:pPr>
            <w:r>
              <w:rPr>
                <w:sz w:val="20"/>
              </w:rPr>
              <w:t>Jugendamt</w:t>
            </w:r>
          </w:p>
        </w:tc>
        <w:tc>
          <w:tcPr>
            <w:tcW w:w="851" w:type="dxa"/>
          </w:tcPr>
          <w:p w:rsidR="00891246" w:rsidRDefault="00891246" w:rsidP="00AD3A46">
            <w:pPr>
              <w:rPr>
                <w:sz w:val="20"/>
              </w:rPr>
            </w:pPr>
          </w:p>
          <w:p w:rsidR="00891246" w:rsidRDefault="009F2AD1" w:rsidP="00AD3A46">
            <w:pPr>
              <w:rPr>
                <w:sz w:val="20"/>
              </w:rPr>
            </w:pPr>
            <w:r>
              <w:rPr>
                <w:sz w:val="20"/>
              </w:rPr>
              <w:t>A 11</w:t>
            </w:r>
          </w:p>
          <w:p w:rsidR="009F2AD1" w:rsidRPr="006E0575" w:rsidRDefault="009F2AD1" w:rsidP="00AD3A46">
            <w:pPr>
              <w:rPr>
                <w:sz w:val="20"/>
              </w:rPr>
            </w:pPr>
          </w:p>
        </w:tc>
        <w:tc>
          <w:tcPr>
            <w:tcW w:w="1701" w:type="dxa"/>
          </w:tcPr>
          <w:p w:rsidR="00891246" w:rsidRDefault="00891246" w:rsidP="00AD3A46">
            <w:pPr>
              <w:rPr>
                <w:sz w:val="20"/>
              </w:rPr>
            </w:pPr>
          </w:p>
          <w:p w:rsidR="00891246" w:rsidRPr="006E0575" w:rsidRDefault="00DE5466" w:rsidP="004E3DF1">
            <w:pPr>
              <w:rPr>
                <w:sz w:val="20"/>
              </w:rPr>
            </w:pPr>
            <w:r>
              <w:rPr>
                <w:sz w:val="20"/>
              </w:rPr>
              <w:t>Sachbearbeiter/ -</w:t>
            </w:r>
            <w:r w:rsidR="00B15F1D">
              <w:rPr>
                <w:sz w:val="20"/>
              </w:rPr>
              <w:t>in</w:t>
            </w:r>
            <w:r w:rsidR="0045369A">
              <w:rPr>
                <w:sz w:val="20"/>
              </w:rPr>
              <w:t xml:space="preserve"> </w:t>
            </w:r>
          </w:p>
        </w:tc>
        <w:tc>
          <w:tcPr>
            <w:tcW w:w="851" w:type="dxa"/>
            <w:shd w:val="pct12" w:color="auto" w:fill="FFFFFF"/>
          </w:tcPr>
          <w:p w:rsidR="00891246" w:rsidRDefault="00891246" w:rsidP="00AD3A46">
            <w:pPr>
              <w:rPr>
                <w:sz w:val="20"/>
              </w:rPr>
            </w:pPr>
          </w:p>
          <w:p w:rsidR="00B15F1D" w:rsidRPr="006E0575" w:rsidRDefault="004E3DF1" w:rsidP="00AD3A46">
            <w:pPr>
              <w:rPr>
                <w:sz w:val="20"/>
              </w:rPr>
            </w:pPr>
            <w:r>
              <w:rPr>
                <w:sz w:val="20"/>
              </w:rPr>
              <w:t>1,0</w:t>
            </w:r>
          </w:p>
        </w:tc>
        <w:tc>
          <w:tcPr>
            <w:tcW w:w="1134" w:type="dxa"/>
          </w:tcPr>
          <w:p w:rsidR="00891246" w:rsidRDefault="00891246" w:rsidP="00AD3A46">
            <w:pPr>
              <w:rPr>
                <w:sz w:val="20"/>
              </w:rPr>
            </w:pPr>
          </w:p>
          <w:p w:rsidR="00891246" w:rsidRPr="006E0575" w:rsidRDefault="003B131B" w:rsidP="00AD3A46">
            <w:pPr>
              <w:rPr>
                <w:sz w:val="20"/>
              </w:rPr>
            </w:pPr>
            <w:r>
              <w:rPr>
                <w:sz w:val="20"/>
              </w:rPr>
              <w:t xml:space="preserve">KW </w:t>
            </w:r>
            <w:r w:rsidR="00297A69">
              <w:rPr>
                <w:sz w:val="20"/>
              </w:rPr>
              <w:t>01/</w:t>
            </w:r>
            <w:r w:rsidR="00DE5466">
              <w:rPr>
                <w:sz w:val="20"/>
              </w:rPr>
              <w:t>20</w:t>
            </w:r>
            <w:r w:rsidR="00297A69">
              <w:rPr>
                <w:sz w:val="20"/>
              </w:rPr>
              <w:t>24</w:t>
            </w:r>
          </w:p>
        </w:tc>
        <w:tc>
          <w:tcPr>
            <w:tcW w:w="1588" w:type="dxa"/>
          </w:tcPr>
          <w:p w:rsidR="00891246" w:rsidRDefault="00891246" w:rsidP="00AD3A46">
            <w:pPr>
              <w:rPr>
                <w:sz w:val="20"/>
              </w:rPr>
            </w:pPr>
          </w:p>
          <w:p w:rsidR="00891246" w:rsidRPr="006E0575" w:rsidRDefault="00AF120D" w:rsidP="00AD3A46">
            <w:pPr>
              <w:rPr>
                <w:sz w:val="20"/>
              </w:rPr>
            </w:pPr>
            <w:r>
              <w:rPr>
                <w:sz w:val="20"/>
              </w:rPr>
              <w:fldChar w:fldCharType="begin">
                <w:ffData>
                  <w:name w:val=""/>
                  <w:enabled/>
                  <w:calcOnExit w:val="0"/>
                  <w:textInput/>
                </w:ffData>
              </w:fldChar>
            </w:r>
            <w:r w:rsidR="00891246">
              <w:rPr>
                <w:sz w:val="20"/>
              </w:rPr>
              <w:instrText xml:space="preserve"> FORMTEXT </w:instrText>
            </w:r>
            <w:r>
              <w:rPr>
                <w:sz w:val="20"/>
              </w:rPr>
            </w:r>
            <w:r>
              <w:rPr>
                <w:sz w:val="20"/>
              </w:rPr>
              <w:fldChar w:fldCharType="separate"/>
            </w:r>
            <w:r w:rsidR="009F1654">
              <w:rPr>
                <w:noProof/>
                <w:sz w:val="20"/>
              </w:rPr>
              <w:t> </w:t>
            </w:r>
            <w:r w:rsidR="009F1654">
              <w:rPr>
                <w:noProof/>
                <w:sz w:val="20"/>
              </w:rPr>
              <w:t> </w:t>
            </w:r>
            <w:r w:rsidR="009F1654">
              <w:rPr>
                <w:noProof/>
                <w:sz w:val="20"/>
              </w:rPr>
              <w:t> </w:t>
            </w:r>
            <w:r w:rsidR="009F1654">
              <w:rPr>
                <w:noProof/>
                <w:sz w:val="20"/>
              </w:rPr>
              <w:t> </w:t>
            </w:r>
            <w:r w:rsidR="009F1654">
              <w:rPr>
                <w:noProof/>
                <w:sz w:val="20"/>
              </w:rPr>
              <w:t> </w:t>
            </w:r>
            <w:r>
              <w:rPr>
                <w:sz w:val="20"/>
              </w:rPr>
              <w:fldChar w:fldCharType="end"/>
            </w: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4E3DF1" w:rsidRPr="00DB1AC2" w:rsidRDefault="004E3DF1" w:rsidP="004E3DF1">
      <w:pPr>
        <w:jc w:val="both"/>
        <w:rPr>
          <w:rFonts w:cs="Arial"/>
        </w:rPr>
      </w:pPr>
      <w:r>
        <w:rPr>
          <w:rFonts w:cs="Arial"/>
          <w:noProof/>
        </w:rPr>
        <w:t xml:space="preserve">Der Wegfall des KW-Vermerks an der Stelle für den Arbeitsbereich </w:t>
      </w:r>
      <w:r w:rsidRPr="004E3DF1">
        <w:rPr>
          <w:rFonts w:cs="Arial"/>
          <w:noProof/>
          <w:u w:val="single"/>
        </w:rPr>
        <w:t>Projektrealisierung und Mietmanagement</w:t>
      </w:r>
      <w:r>
        <w:rPr>
          <w:rFonts w:cs="Arial"/>
          <w:noProof/>
        </w:rPr>
        <w:t xml:space="preserve"> in der Dienststelle „Gebäudebedarfsplanung, Beschaffung und Mietmanagement“</w:t>
      </w:r>
      <w:r w:rsidRPr="00DB1AC2">
        <w:rPr>
          <w:rFonts w:cs="Arial"/>
          <w:noProof/>
        </w:rPr>
        <w:t xml:space="preserve"> ist notwendig, um die zwingenden gesetzlichen Vorgaben nach dem Sozialgesetzbuch XIII in Verbindung mit dem Tagesausbaubetreuungsgesetz (TAG) und dem Kinderförderungsgesetz (KiFöG) zu erfüllen. Danach hat jedes Kind von 1 bis 3 Jahren einen einklagbaren Anspruch auf einen Krippenplatz. </w:t>
      </w:r>
    </w:p>
    <w:p w:rsidR="004E3DF1" w:rsidRPr="00A1638C" w:rsidRDefault="004E3DF1" w:rsidP="004E3DF1">
      <w:pPr>
        <w:ind w:left="-284"/>
        <w:jc w:val="both"/>
        <w:rPr>
          <w:rFonts w:cs="Arial"/>
        </w:rPr>
      </w:pPr>
    </w:p>
    <w:p w:rsidR="004E3DF1" w:rsidRPr="00A1638C" w:rsidRDefault="004E3DF1" w:rsidP="004E3DF1">
      <w:pPr>
        <w:jc w:val="both"/>
        <w:rPr>
          <w:rFonts w:cs="Arial"/>
          <w:noProof/>
        </w:rPr>
      </w:pPr>
      <w:r w:rsidRPr="00A1638C">
        <w:rPr>
          <w:rFonts w:cs="Arial"/>
          <w:noProof/>
        </w:rPr>
        <w:t xml:space="preserve">In der Landeshauptstadt Stuttgart fehlen aktuell noch ca. </w:t>
      </w:r>
      <w:r>
        <w:rPr>
          <w:rFonts w:cs="Arial"/>
          <w:noProof/>
        </w:rPr>
        <w:t>3.000</w:t>
      </w:r>
      <w:r w:rsidRPr="00A1638C">
        <w:rPr>
          <w:rFonts w:cs="Arial"/>
          <w:noProof/>
        </w:rPr>
        <w:t xml:space="preserve"> Betreuungsplätze für Kinder zwischen 0 und 3 Jahren. </w:t>
      </w:r>
    </w:p>
    <w:p w:rsidR="004E3DF1" w:rsidRPr="00A1638C" w:rsidRDefault="004E3DF1" w:rsidP="004E3DF1">
      <w:pPr>
        <w:jc w:val="both"/>
        <w:rPr>
          <w:rFonts w:cs="Arial"/>
          <w:noProof/>
        </w:rPr>
      </w:pPr>
    </w:p>
    <w:p w:rsidR="004E3DF1" w:rsidRPr="00A1638C" w:rsidRDefault="004E3DF1" w:rsidP="004E3DF1">
      <w:pPr>
        <w:jc w:val="both"/>
        <w:rPr>
          <w:rFonts w:cs="Arial"/>
        </w:rPr>
      </w:pPr>
      <w:r w:rsidRPr="00A1638C">
        <w:rPr>
          <w:rFonts w:cs="Arial"/>
        </w:rPr>
        <w:t>Die fehlenden Betreuungsplätze führen dazu, dass weitere neue Standorte, Ausbaumöglichkeiten, Umbauten und Erweiterungen in bestehenden Einrichtungen erschlossen werden müssen, um die notwendigen Pl</w:t>
      </w:r>
      <w:bookmarkStart w:id="0" w:name="_GoBack"/>
      <w:bookmarkEnd w:id="0"/>
      <w:r w:rsidRPr="00A1638C">
        <w:rPr>
          <w:rFonts w:cs="Arial"/>
        </w:rPr>
        <w:t xml:space="preserve">ätze anbieten zu können. Hierfür sind umfangreiche Planungsgespräche, Planungs- und Prüfaufträge an die Ämter, Raumprogramm zu entwerfen, zum Teil schwierige Verhandlungen mit Vermietern und Eigentümern zu führen, planungs- und baurechtliche Prüfungen zu veranlassen, Kostenvoranschläge und Kostenschätzungen einzuholen, Anträge auf Zuschüsse des Landes und des Bundes zu stellen, die Finanzierung zu planen, Mittelanforderungen zu entsprechen und Budgetüberwachungen durchzuführen. Dies ist nicht </w:t>
      </w:r>
      <w:r>
        <w:rPr>
          <w:rFonts w:cs="Arial"/>
        </w:rPr>
        <w:t xml:space="preserve">ohne zusätzliche Stellenschaffungen zu bewerkstelligen. </w:t>
      </w:r>
      <w:r w:rsidRPr="00A1638C">
        <w:rPr>
          <w:rFonts w:cs="Arial"/>
        </w:rPr>
        <w:t xml:space="preserve"> </w:t>
      </w:r>
    </w:p>
    <w:p w:rsidR="004E3DF1" w:rsidRPr="00A1638C" w:rsidRDefault="004E3DF1" w:rsidP="004E3DF1">
      <w:pPr>
        <w:jc w:val="both"/>
        <w:rPr>
          <w:rFonts w:eastAsiaTheme="minorHAnsi" w:cs="Arial"/>
          <w:lang w:eastAsia="en-US"/>
        </w:rPr>
      </w:pPr>
    </w:p>
    <w:p w:rsidR="004E3DF1" w:rsidRPr="00EF4659" w:rsidRDefault="004E3DF1" w:rsidP="004E3DF1">
      <w:pPr>
        <w:jc w:val="both"/>
        <w:rPr>
          <w:rFonts w:eastAsiaTheme="minorHAnsi" w:cs="Arial"/>
          <w:lang w:eastAsia="en-US"/>
        </w:rPr>
      </w:pPr>
      <w:r w:rsidRPr="00EF4659">
        <w:rPr>
          <w:rFonts w:eastAsiaTheme="minorHAnsi" w:cs="Arial"/>
          <w:lang w:eastAsia="en-US"/>
        </w:rPr>
        <w:t xml:space="preserve">Zum DHH </w:t>
      </w:r>
      <w:r w:rsidR="000F5449">
        <w:rPr>
          <w:rFonts w:eastAsiaTheme="minorHAnsi" w:cs="Arial"/>
          <w:lang w:eastAsia="en-US"/>
        </w:rPr>
        <w:t>2022</w:t>
      </w:r>
      <w:r>
        <w:rPr>
          <w:rFonts w:eastAsiaTheme="minorHAnsi" w:cs="Arial"/>
          <w:lang w:eastAsia="en-US"/>
        </w:rPr>
        <w:t>/202</w:t>
      </w:r>
      <w:r w:rsidR="000F5449">
        <w:rPr>
          <w:rFonts w:eastAsiaTheme="minorHAnsi" w:cs="Arial"/>
          <w:lang w:eastAsia="en-US"/>
        </w:rPr>
        <w:t>3</w:t>
      </w:r>
      <w:r w:rsidRPr="00EF4659">
        <w:rPr>
          <w:rFonts w:eastAsiaTheme="minorHAnsi" w:cs="Arial"/>
          <w:lang w:eastAsia="en-US"/>
        </w:rPr>
        <w:t xml:space="preserve"> wurden insgesamt 6 Neubauten (Neubauten </w:t>
      </w:r>
      <w:r w:rsidR="00DE5466">
        <w:rPr>
          <w:rFonts w:eastAsiaTheme="minorHAnsi" w:cs="Arial"/>
          <w:lang w:eastAsia="en-US"/>
        </w:rPr>
        <w:t>Liegenschaftsamt</w:t>
      </w:r>
      <w:r>
        <w:rPr>
          <w:rFonts w:eastAsiaTheme="minorHAnsi" w:cs="Arial"/>
          <w:lang w:eastAsia="en-US"/>
        </w:rPr>
        <w:t>) sowie 13</w:t>
      </w:r>
      <w:r w:rsidRPr="00EF4659">
        <w:rPr>
          <w:rFonts w:eastAsiaTheme="minorHAnsi" w:cs="Arial"/>
          <w:lang w:eastAsia="en-US"/>
        </w:rPr>
        <w:t xml:space="preserve"> </w:t>
      </w:r>
      <w:r>
        <w:rPr>
          <w:rFonts w:eastAsiaTheme="minorHAnsi" w:cs="Arial"/>
          <w:lang w:eastAsia="en-US"/>
        </w:rPr>
        <w:t>Investorenprojekte</w:t>
      </w:r>
      <w:r w:rsidRPr="00EF4659">
        <w:rPr>
          <w:rFonts w:eastAsiaTheme="minorHAnsi" w:cs="Arial"/>
          <w:lang w:eastAsia="en-US"/>
        </w:rPr>
        <w:t xml:space="preserve"> für Tageseinrichtungen für Kinder beschlossen. In Bezug auf die Bestandseinrichtungen der Kindertagesstätten im Jahr 20</w:t>
      </w:r>
      <w:r>
        <w:rPr>
          <w:rFonts w:eastAsiaTheme="minorHAnsi" w:cs="Arial"/>
          <w:lang w:eastAsia="en-US"/>
        </w:rPr>
        <w:t>20</w:t>
      </w:r>
      <w:r w:rsidRPr="00EF4659">
        <w:rPr>
          <w:rFonts w:eastAsiaTheme="minorHAnsi" w:cs="Arial"/>
          <w:lang w:eastAsia="en-US"/>
        </w:rPr>
        <w:t xml:space="preserve"> (</w:t>
      </w:r>
      <w:r>
        <w:rPr>
          <w:rFonts w:eastAsiaTheme="minorHAnsi" w:cs="Arial"/>
          <w:lang w:eastAsia="en-US"/>
        </w:rPr>
        <w:t>189)</w:t>
      </w:r>
      <w:r w:rsidRPr="00EF4659">
        <w:rPr>
          <w:rFonts w:eastAsiaTheme="minorHAnsi" w:cs="Arial"/>
          <w:lang w:eastAsia="en-US"/>
        </w:rPr>
        <w:t xml:space="preserve"> ergibt sich eine Steigerung von rd. 1</w:t>
      </w:r>
      <w:r>
        <w:rPr>
          <w:rFonts w:eastAsiaTheme="minorHAnsi" w:cs="Arial"/>
          <w:lang w:eastAsia="en-US"/>
        </w:rPr>
        <w:t>0</w:t>
      </w:r>
      <w:r w:rsidR="003B131B">
        <w:rPr>
          <w:rFonts w:eastAsiaTheme="minorHAnsi" w:cs="Arial"/>
          <w:lang w:eastAsia="en-US"/>
        </w:rPr>
        <w:t xml:space="preserve"> </w:t>
      </w:r>
      <w:r w:rsidRPr="00EF4659">
        <w:rPr>
          <w:rFonts w:eastAsiaTheme="minorHAnsi" w:cs="Arial"/>
          <w:lang w:eastAsia="en-US"/>
        </w:rPr>
        <w:t>%.</w:t>
      </w:r>
    </w:p>
    <w:p w:rsidR="004E3DF1" w:rsidRPr="00A1638C" w:rsidRDefault="004E3DF1" w:rsidP="004E3DF1">
      <w:pPr>
        <w:jc w:val="both"/>
        <w:rPr>
          <w:rFonts w:eastAsiaTheme="minorHAnsi" w:cs="Arial"/>
          <w:lang w:eastAsia="en-US"/>
        </w:rPr>
      </w:pPr>
    </w:p>
    <w:p w:rsidR="004E3DF1" w:rsidRPr="00A1638C" w:rsidRDefault="004E3DF1" w:rsidP="004E3DF1">
      <w:pPr>
        <w:jc w:val="both"/>
        <w:rPr>
          <w:rFonts w:eastAsiaTheme="minorHAnsi" w:cs="Arial"/>
          <w:lang w:eastAsia="en-US"/>
        </w:rPr>
      </w:pPr>
      <w:r w:rsidRPr="00A1638C">
        <w:rPr>
          <w:rFonts w:eastAsiaTheme="minorHAnsi" w:cs="Arial"/>
          <w:lang w:eastAsia="en-US"/>
        </w:rPr>
        <w:t xml:space="preserve">Aktuell sind alleine in den aufgeführten </w:t>
      </w:r>
      <w:r>
        <w:rPr>
          <w:rFonts w:eastAsiaTheme="minorHAnsi" w:cs="Arial"/>
          <w:lang w:eastAsia="en-US"/>
        </w:rPr>
        <w:t>acht</w:t>
      </w:r>
      <w:r w:rsidRPr="00A1638C">
        <w:rPr>
          <w:rFonts w:eastAsiaTheme="minorHAnsi" w:cs="Arial"/>
          <w:lang w:eastAsia="en-US"/>
        </w:rPr>
        <w:t xml:space="preserve"> größeren Baugebieten insgesamt fast 9.500 Wohnungen geplant. Dies führt zu 40 zusätzlichen Tageseinrichtungen für Kinder.</w:t>
      </w:r>
    </w:p>
    <w:p w:rsidR="004E3DF1" w:rsidRPr="00A1638C" w:rsidRDefault="004E3DF1" w:rsidP="004E3DF1">
      <w:pPr>
        <w:ind w:left="284"/>
        <w:jc w:val="both"/>
        <w:rPr>
          <w:rFonts w:eastAsiaTheme="minorHAnsi" w:cs="Arial"/>
          <w:lang w:eastAsia="en-US"/>
        </w:rPr>
      </w:pPr>
    </w:p>
    <w:p w:rsidR="004E3DF1" w:rsidRDefault="004E3DF1" w:rsidP="004E3DF1">
      <w:pPr>
        <w:jc w:val="both"/>
        <w:rPr>
          <w:rFonts w:eastAsiaTheme="minorHAnsi" w:cs="Arial"/>
          <w:lang w:eastAsia="en-US"/>
        </w:rPr>
      </w:pPr>
      <w:r>
        <w:rPr>
          <w:rFonts w:eastAsiaTheme="minorHAnsi" w:cs="Arial"/>
          <w:lang w:eastAsia="en-US"/>
        </w:rPr>
        <w:lastRenderedPageBreak/>
        <w:t>Besonders hervorzuheben ist der zusätzliche Bedarf</w:t>
      </w:r>
      <w:r w:rsidR="00DE5466">
        <w:rPr>
          <w:rFonts w:eastAsiaTheme="minorHAnsi" w:cs="Arial"/>
          <w:lang w:eastAsia="en-US"/>
        </w:rPr>
        <w:t>,</w:t>
      </w:r>
      <w:r>
        <w:rPr>
          <w:rFonts w:eastAsiaTheme="minorHAnsi" w:cs="Arial"/>
          <w:lang w:eastAsia="en-US"/>
        </w:rPr>
        <w:t xml:space="preserve"> der alleine durch den Rahmenplan Rosenstein entsteht: Stut</w:t>
      </w:r>
      <w:r w:rsidR="00DE5466">
        <w:rPr>
          <w:rFonts w:eastAsiaTheme="minorHAnsi" w:cs="Arial"/>
          <w:lang w:eastAsia="en-US"/>
        </w:rPr>
        <w:t>tgart Rosenstein stellt aktuell</w:t>
      </w:r>
      <w:r>
        <w:rPr>
          <w:rFonts w:eastAsiaTheme="minorHAnsi" w:cs="Arial"/>
          <w:lang w:eastAsia="en-US"/>
        </w:rPr>
        <w:t xml:space="preserve"> das mit Abstand größte und komplexeste Entwicklungsgebiet der innerstädtischen Stadt- und Infrastrukturentwicklung dar. Im Frühsommer 2022 wurde der aktuelle Stand in den betroffenen Bezirksbeiräten sowie den Fachausschüssen des Gemeinderats mündlich präsentiert. Mit dem Beschluss des Rahmenplans Stuttgart Rosenstein </w:t>
      </w:r>
      <w:r w:rsidR="00DE5466">
        <w:rPr>
          <w:rFonts w:eastAsiaTheme="minorHAnsi" w:cs="Arial"/>
          <w:lang w:eastAsia="en-US"/>
        </w:rPr>
        <w:t>wurde</w:t>
      </w:r>
      <w:r>
        <w:rPr>
          <w:rFonts w:eastAsiaTheme="minorHAnsi" w:cs="Arial"/>
          <w:lang w:eastAsia="en-US"/>
        </w:rPr>
        <w:t xml:space="preserve"> Anfang des Jahres 2023 der Auftakt und Startschuss für konkrete nächste Entwicklungs- und Umsetzungsphasen gesetzt. Dann werden umgehend weitere, konkretisierende Planungsprozesse angestoßen und fortgeführt, um die erforderlichen Grundlagen für den bzw. die Bebauungspläne des Gebiets zu schaffen. Hier sind insgesamt 19 Kitas geplant. </w:t>
      </w:r>
    </w:p>
    <w:p w:rsidR="004E3DF1" w:rsidRPr="00A1638C" w:rsidRDefault="004E3DF1" w:rsidP="004E3DF1">
      <w:pPr>
        <w:jc w:val="both"/>
        <w:rPr>
          <w:rFonts w:eastAsiaTheme="minorHAnsi" w:cs="Arial"/>
          <w:lang w:eastAsia="en-US"/>
        </w:rPr>
      </w:pPr>
    </w:p>
    <w:p w:rsidR="004E3DF1" w:rsidRDefault="004E3DF1" w:rsidP="004E3DF1">
      <w:pPr>
        <w:jc w:val="both"/>
      </w:pPr>
      <w:r>
        <w:rPr>
          <w:rFonts w:cs="Arial"/>
        </w:rPr>
        <w:t xml:space="preserve">Die zum letzten DHH geschaffene Stelle ist daher </w:t>
      </w:r>
      <w:r w:rsidRPr="004E3DF1">
        <w:rPr>
          <w:rFonts w:cs="Arial"/>
        </w:rPr>
        <w:t>dauerhaft</w:t>
      </w:r>
      <w:r>
        <w:rPr>
          <w:rFonts w:cs="Arial"/>
        </w:rPr>
        <w:t xml:space="preserve"> erforderlich. </w:t>
      </w:r>
    </w:p>
    <w:sectPr w:rsidR="004E3DF1"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96" w:rsidRDefault="00E44D96">
      <w:r>
        <w:separator/>
      </w:r>
    </w:p>
  </w:endnote>
  <w:endnote w:type="continuationSeparator" w:id="0">
    <w:p w:rsidR="00E44D96" w:rsidRDefault="00E4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96" w:rsidRDefault="00E44D96">
      <w:r>
        <w:separator/>
      </w:r>
    </w:p>
  </w:footnote>
  <w:footnote w:type="continuationSeparator" w:id="0">
    <w:p w:rsidR="00E44D96" w:rsidRDefault="00E4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0F5449">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3761402"/>
    <w:multiLevelType w:val="hybridMultilevel"/>
    <w:tmpl w:val="A662873E"/>
    <w:lvl w:ilvl="0" w:tplc="52A03F7A">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D865178"/>
    <w:multiLevelType w:val="hybridMultilevel"/>
    <w:tmpl w:val="6ECE4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6"/>
    <w:rsid w:val="000A1146"/>
    <w:rsid w:val="000F5449"/>
    <w:rsid w:val="001058DD"/>
    <w:rsid w:val="00165C0D"/>
    <w:rsid w:val="00181857"/>
    <w:rsid w:val="001F5D9F"/>
    <w:rsid w:val="002058C2"/>
    <w:rsid w:val="00213C7A"/>
    <w:rsid w:val="002812E4"/>
    <w:rsid w:val="002924CB"/>
    <w:rsid w:val="00297A69"/>
    <w:rsid w:val="002A664A"/>
    <w:rsid w:val="002B6783"/>
    <w:rsid w:val="002C2BCF"/>
    <w:rsid w:val="003237BB"/>
    <w:rsid w:val="00361333"/>
    <w:rsid w:val="003A7A41"/>
    <w:rsid w:val="003B131B"/>
    <w:rsid w:val="003D5196"/>
    <w:rsid w:val="003D7B0B"/>
    <w:rsid w:val="003F20FE"/>
    <w:rsid w:val="00406723"/>
    <w:rsid w:val="0045369A"/>
    <w:rsid w:val="0045680F"/>
    <w:rsid w:val="004920E9"/>
    <w:rsid w:val="004B6796"/>
    <w:rsid w:val="004D7F89"/>
    <w:rsid w:val="004E3DF1"/>
    <w:rsid w:val="00537E08"/>
    <w:rsid w:val="005778E9"/>
    <w:rsid w:val="005E7511"/>
    <w:rsid w:val="005E7A74"/>
    <w:rsid w:val="0060281A"/>
    <w:rsid w:val="00694161"/>
    <w:rsid w:val="006B7B06"/>
    <w:rsid w:val="006C1AC2"/>
    <w:rsid w:val="006E0575"/>
    <w:rsid w:val="00701699"/>
    <w:rsid w:val="00725E0C"/>
    <w:rsid w:val="00746A71"/>
    <w:rsid w:val="00767369"/>
    <w:rsid w:val="00796600"/>
    <w:rsid w:val="007B5FE2"/>
    <w:rsid w:val="0083052F"/>
    <w:rsid w:val="00840569"/>
    <w:rsid w:val="00884D6C"/>
    <w:rsid w:val="00891246"/>
    <w:rsid w:val="00893E55"/>
    <w:rsid w:val="008A1899"/>
    <w:rsid w:val="00984AC4"/>
    <w:rsid w:val="00995EBD"/>
    <w:rsid w:val="009B0FBE"/>
    <w:rsid w:val="009F1654"/>
    <w:rsid w:val="009F2AD1"/>
    <w:rsid w:val="00A206E5"/>
    <w:rsid w:val="00A34898"/>
    <w:rsid w:val="00A77F1E"/>
    <w:rsid w:val="00A8778F"/>
    <w:rsid w:val="00AB0D1F"/>
    <w:rsid w:val="00AD3A46"/>
    <w:rsid w:val="00AF120D"/>
    <w:rsid w:val="00B04290"/>
    <w:rsid w:val="00B15F1D"/>
    <w:rsid w:val="00B238D8"/>
    <w:rsid w:val="00B80DEF"/>
    <w:rsid w:val="00C42332"/>
    <w:rsid w:val="00C448D3"/>
    <w:rsid w:val="00CD0B27"/>
    <w:rsid w:val="00CE7D5B"/>
    <w:rsid w:val="00D15184"/>
    <w:rsid w:val="00D24277"/>
    <w:rsid w:val="00D544BF"/>
    <w:rsid w:val="00D60BEF"/>
    <w:rsid w:val="00DA24CD"/>
    <w:rsid w:val="00DA701E"/>
    <w:rsid w:val="00DB315E"/>
    <w:rsid w:val="00DE32BA"/>
    <w:rsid w:val="00DE5466"/>
    <w:rsid w:val="00DF268B"/>
    <w:rsid w:val="00DF3470"/>
    <w:rsid w:val="00E1162F"/>
    <w:rsid w:val="00E11D5F"/>
    <w:rsid w:val="00E24307"/>
    <w:rsid w:val="00E248AF"/>
    <w:rsid w:val="00E37194"/>
    <w:rsid w:val="00E44D96"/>
    <w:rsid w:val="00E917F3"/>
    <w:rsid w:val="00EB1FB5"/>
    <w:rsid w:val="00ED5FA7"/>
    <w:rsid w:val="00F00C79"/>
    <w:rsid w:val="00F132FA"/>
    <w:rsid w:val="00F27657"/>
    <w:rsid w:val="00F27BB8"/>
    <w:rsid w:val="00FB7258"/>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C2A5E"/>
  <w15:docId w15:val="{9FBB58F0-8133-45B0-A7B1-7E3F86C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9F2AD1"/>
    <w:pPr>
      <w:ind w:left="720"/>
      <w:contextualSpacing/>
    </w:pPr>
  </w:style>
  <w:style w:type="paragraph" w:styleId="Funotentext">
    <w:name w:val="footnote text"/>
    <w:basedOn w:val="Standard"/>
    <w:link w:val="FunotentextZchn"/>
    <w:semiHidden/>
    <w:unhideWhenUsed/>
    <w:rsid w:val="009F2AD1"/>
    <w:rPr>
      <w:sz w:val="20"/>
      <w:szCs w:val="20"/>
    </w:rPr>
  </w:style>
  <w:style w:type="character" w:customStyle="1" w:styleId="FunotentextZchn">
    <w:name w:val="Fußnotentext Zchn"/>
    <w:basedOn w:val="Absatz-Standardschriftart"/>
    <w:link w:val="Funotentext"/>
    <w:semiHidden/>
    <w:rsid w:val="009F2AD1"/>
    <w:rPr>
      <w:sz w:val="20"/>
      <w:szCs w:val="20"/>
    </w:rPr>
  </w:style>
  <w:style w:type="character" w:styleId="Funotenzeichen">
    <w:name w:val="footnote reference"/>
    <w:basedOn w:val="Absatz-Standardschriftart"/>
    <w:semiHidden/>
    <w:unhideWhenUsed/>
    <w:rsid w:val="009F2AD1"/>
    <w:rPr>
      <w:vertAlign w:val="superscript"/>
    </w:rPr>
  </w:style>
  <w:style w:type="table" w:styleId="Tabellenraster">
    <w:name w:val="Table Grid"/>
    <w:basedOn w:val="NormaleTabelle"/>
    <w:uiPriority w:val="59"/>
    <w:rsid w:val="004E3D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9F1654"/>
    <w:rPr>
      <w:rFonts w:ascii="Segoe UI" w:hAnsi="Segoe UI" w:cs="Segoe UI"/>
      <w:sz w:val="18"/>
      <w:szCs w:val="18"/>
    </w:rPr>
  </w:style>
  <w:style w:type="character" w:customStyle="1" w:styleId="SprechblasentextZchn">
    <w:name w:val="Sprechblasentext Zchn"/>
    <w:basedOn w:val="Absatz-Standardschriftart"/>
    <w:link w:val="Sprechblasentext"/>
    <w:semiHidden/>
    <w:rsid w:val="009F1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69\AppData\Local\Temp\notes1DACCE\l112_muster-wegfall-stell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7955-B9DC-493A-B023-B88A2E33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l112_muster-wegfall-stellenvermerk.dotx</Template>
  <TotalTime>0</TotalTime>
  <Pages>2</Pages>
  <Words>373</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
  <dc:creator>Schür, Nicole</dc:creator>
  <dc:description/>
  <cp:lastModifiedBy>Baumann, Gerhard</cp:lastModifiedBy>
  <cp:revision>7</cp:revision>
  <cp:lastPrinted>2023-10-19T15:21:00Z</cp:lastPrinted>
  <dcterms:created xsi:type="dcterms:W3CDTF">2023-07-18T07:27:00Z</dcterms:created>
  <dcterms:modified xsi:type="dcterms:W3CDTF">2023-11-23T09:33:00Z</dcterms:modified>
</cp:coreProperties>
</file>