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D41A" w14:textId="0C337F6D" w:rsidR="00496D02" w:rsidRPr="006E0575" w:rsidRDefault="00496D02" w:rsidP="00496D02">
      <w:pPr>
        <w:jc w:val="right"/>
      </w:pPr>
      <w:r w:rsidRPr="006E0575">
        <w:t xml:space="preserve">Anlage </w:t>
      </w:r>
      <w:r w:rsidR="00E56FF8">
        <w:t>6</w:t>
      </w:r>
      <w:r w:rsidRPr="006E0575">
        <w:t xml:space="preserve"> zur GRDrs</w:t>
      </w:r>
      <w:r w:rsidR="00B763CC">
        <w:t>.</w:t>
      </w:r>
      <w:r w:rsidRPr="006E0575">
        <w:t xml:space="preserve"> </w:t>
      </w:r>
      <w:r w:rsidR="00B763CC">
        <w:t>825</w:t>
      </w:r>
      <w:r>
        <w:t>/2023</w:t>
      </w:r>
    </w:p>
    <w:p w14:paraId="7EEC8D2F" w14:textId="77777777" w:rsidR="00496D02" w:rsidRPr="006E0575" w:rsidRDefault="00496D02" w:rsidP="00496D02"/>
    <w:p w14:paraId="53F13690" w14:textId="77777777" w:rsidR="00496D02" w:rsidRPr="006E0575" w:rsidRDefault="00496D02" w:rsidP="00496D02"/>
    <w:p w14:paraId="67C72121" w14:textId="77777777" w:rsidR="00496D02" w:rsidRDefault="00496D02" w:rsidP="00496D02">
      <w:pPr>
        <w:jc w:val="center"/>
        <w:rPr>
          <w:b/>
          <w:sz w:val="36"/>
        </w:rPr>
      </w:pPr>
      <w:r>
        <w:rPr>
          <w:b/>
          <w:sz w:val="36"/>
          <w:u w:val="single"/>
        </w:rPr>
        <w:t>Stellenschaffun</w:t>
      </w:r>
      <w:r w:rsidRPr="00AB389D">
        <w:rPr>
          <w:b/>
          <w:sz w:val="36"/>
        </w:rPr>
        <w:t>g</w:t>
      </w:r>
    </w:p>
    <w:p w14:paraId="5D4EE1A1" w14:textId="00A71608" w:rsidR="00496D02" w:rsidRPr="00E42F96" w:rsidRDefault="00496D02" w:rsidP="00496D02">
      <w:pPr>
        <w:jc w:val="center"/>
        <w:rPr>
          <w:b/>
          <w:sz w:val="36"/>
          <w:szCs w:val="36"/>
          <w:u w:val="single"/>
        </w:rPr>
      </w:pPr>
      <w:r w:rsidRPr="00E42F96">
        <w:rPr>
          <w:b/>
          <w:sz w:val="36"/>
          <w:szCs w:val="36"/>
          <w:u w:val="single"/>
        </w:rPr>
        <w:t>zum Stellenplan 20</w:t>
      </w:r>
      <w:r>
        <w:rPr>
          <w:b/>
          <w:sz w:val="36"/>
          <w:szCs w:val="36"/>
          <w:u w:val="single"/>
        </w:rPr>
        <w:t>24</w:t>
      </w:r>
    </w:p>
    <w:p w14:paraId="3632B3E2" w14:textId="77777777" w:rsidR="00496D02" w:rsidRDefault="00496D02" w:rsidP="00496D02">
      <w:pPr>
        <w:rPr>
          <w:u w:val="single"/>
        </w:rPr>
      </w:pPr>
    </w:p>
    <w:p w14:paraId="522BA923" w14:textId="77777777" w:rsidR="00496D02" w:rsidRPr="00E42F96" w:rsidRDefault="00496D02" w:rsidP="00496D02">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496D02" w:rsidRPr="006E0575" w14:paraId="188F481F" w14:textId="77777777" w:rsidTr="00945C74">
        <w:trPr>
          <w:tblHeader/>
        </w:trPr>
        <w:tc>
          <w:tcPr>
            <w:tcW w:w="1701" w:type="dxa"/>
            <w:shd w:val="pct12" w:color="auto" w:fill="FFFFFF"/>
          </w:tcPr>
          <w:p w14:paraId="70047ADB" w14:textId="77777777" w:rsidR="00496D02" w:rsidRDefault="00496D02" w:rsidP="00945C74">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Pr>
                <w:sz w:val="16"/>
                <w:szCs w:val="16"/>
              </w:rPr>
              <w:t>,</w:t>
            </w:r>
          </w:p>
          <w:p w14:paraId="76EA06E9" w14:textId="77777777" w:rsidR="00496D02" w:rsidRPr="006E0575" w:rsidRDefault="00496D02" w:rsidP="00945C74">
            <w:pPr>
              <w:spacing w:before="120" w:after="120" w:line="200" w:lineRule="exact"/>
              <w:rPr>
                <w:sz w:val="16"/>
                <w:szCs w:val="16"/>
              </w:rPr>
            </w:pPr>
            <w:r>
              <w:rPr>
                <w:sz w:val="16"/>
                <w:szCs w:val="16"/>
              </w:rPr>
              <w:t>Kostenstelle</w:t>
            </w:r>
          </w:p>
        </w:tc>
        <w:tc>
          <w:tcPr>
            <w:tcW w:w="1701" w:type="dxa"/>
            <w:shd w:val="pct12" w:color="auto" w:fill="FFFFFF"/>
          </w:tcPr>
          <w:p w14:paraId="0B181375" w14:textId="77777777" w:rsidR="00496D02" w:rsidRPr="006E0575" w:rsidRDefault="00496D02" w:rsidP="00945C74">
            <w:pPr>
              <w:spacing w:before="120" w:after="120" w:line="200" w:lineRule="exact"/>
              <w:rPr>
                <w:sz w:val="16"/>
                <w:szCs w:val="16"/>
              </w:rPr>
            </w:pPr>
            <w:r w:rsidRPr="006E0575">
              <w:rPr>
                <w:sz w:val="16"/>
                <w:szCs w:val="16"/>
              </w:rPr>
              <w:t>Amt</w:t>
            </w:r>
          </w:p>
        </w:tc>
        <w:tc>
          <w:tcPr>
            <w:tcW w:w="851" w:type="dxa"/>
            <w:shd w:val="pct12" w:color="auto" w:fill="FFFFFF"/>
          </w:tcPr>
          <w:p w14:paraId="35AF17E4" w14:textId="77777777" w:rsidR="00496D02" w:rsidRDefault="00496D02" w:rsidP="00945C74">
            <w:pPr>
              <w:spacing w:before="120" w:after="120" w:line="200" w:lineRule="exact"/>
              <w:rPr>
                <w:sz w:val="16"/>
                <w:szCs w:val="16"/>
              </w:rPr>
            </w:pPr>
            <w:r>
              <w:rPr>
                <w:sz w:val="16"/>
                <w:szCs w:val="16"/>
              </w:rPr>
              <w:t>BesGr.</w:t>
            </w:r>
          </w:p>
          <w:p w14:paraId="19345C00" w14:textId="77777777" w:rsidR="00496D02" w:rsidRDefault="00496D02" w:rsidP="00945C74">
            <w:pPr>
              <w:spacing w:before="120" w:after="120" w:line="200" w:lineRule="exact"/>
              <w:rPr>
                <w:sz w:val="16"/>
                <w:szCs w:val="16"/>
              </w:rPr>
            </w:pPr>
            <w:r>
              <w:rPr>
                <w:sz w:val="16"/>
                <w:szCs w:val="16"/>
              </w:rPr>
              <w:t>oder</w:t>
            </w:r>
          </w:p>
          <w:p w14:paraId="08BA1B22" w14:textId="77777777" w:rsidR="00496D02" w:rsidRPr="006E0575" w:rsidRDefault="00496D02" w:rsidP="00945C74">
            <w:pPr>
              <w:spacing w:before="120" w:after="120" w:line="200" w:lineRule="exact"/>
              <w:rPr>
                <w:sz w:val="16"/>
                <w:szCs w:val="16"/>
              </w:rPr>
            </w:pPr>
            <w:r>
              <w:rPr>
                <w:sz w:val="16"/>
                <w:szCs w:val="16"/>
              </w:rPr>
              <w:t>EG</w:t>
            </w:r>
          </w:p>
        </w:tc>
        <w:tc>
          <w:tcPr>
            <w:tcW w:w="1701" w:type="dxa"/>
            <w:shd w:val="pct12" w:color="auto" w:fill="FFFFFF"/>
          </w:tcPr>
          <w:p w14:paraId="66AFA47E" w14:textId="77777777" w:rsidR="00496D02" w:rsidRPr="006E0575" w:rsidRDefault="00496D02" w:rsidP="00945C74">
            <w:pPr>
              <w:spacing w:before="120" w:after="120" w:line="200" w:lineRule="exact"/>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851" w:type="dxa"/>
            <w:shd w:val="pct12" w:color="auto" w:fill="FFFFFF"/>
          </w:tcPr>
          <w:p w14:paraId="7B465800" w14:textId="77777777" w:rsidR="00496D02" w:rsidRPr="006E0575" w:rsidRDefault="00496D02" w:rsidP="00945C74">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4AAFD39" w14:textId="77777777" w:rsidR="00496D02" w:rsidRPr="006E0575" w:rsidRDefault="00496D02" w:rsidP="00945C74">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3EC14C0C" w14:textId="77777777" w:rsidR="00496D02" w:rsidRPr="006E0575" w:rsidRDefault="00496D02" w:rsidP="00945C74">
            <w:pPr>
              <w:spacing w:before="120" w:after="120" w:line="200" w:lineRule="exact"/>
              <w:rPr>
                <w:sz w:val="16"/>
                <w:szCs w:val="16"/>
              </w:rPr>
            </w:pPr>
            <w:r>
              <w:rPr>
                <w:sz w:val="16"/>
                <w:szCs w:val="16"/>
              </w:rPr>
              <w:t>d</w:t>
            </w:r>
            <w:r w:rsidRPr="006E0575">
              <w:rPr>
                <w:sz w:val="16"/>
                <w:szCs w:val="16"/>
              </w:rPr>
              <w:t>urchschnittl</w:t>
            </w:r>
            <w:r>
              <w:rPr>
                <w:sz w:val="16"/>
                <w:szCs w:val="16"/>
              </w:rPr>
              <w:t>icher</w:t>
            </w:r>
            <w:r>
              <w:rPr>
                <w:sz w:val="16"/>
                <w:szCs w:val="16"/>
              </w:rPr>
              <w:br/>
              <w:t>jährlicher</w:t>
            </w:r>
            <w:r>
              <w:rPr>
                <w:sz w:val="16"/>
                <w:szCs w:val="16"/>
              </w:rPr>
              <w:br/>
              <w:t>kostenwirksamer</w:t>
            </w:r>
            <w:r>
              <w:rPr>
                <w:sz w:val="16"/>
                <w:szCs w:val="16"/>
              </w:rPr>
              <w:br/>
            </w:r>
            <w:r w:rsidRPr="006E0575">
              <w:rPr>
                <w:sz w:val="16"/>
                <w:szCs w:val="16"/>
              </w:rPr>
              <w:t>Auf</w:t>
            </w:r>
            <w:r>
              <w:rPr>
                <w:sz w:val="16"/>
                <w:szCs w:val="16"/>
              </w:rPr>
              <w:t>wand</w:t>
            </w:r>
            <w:r>
              <w:rPr>
                <w:sz w:val="16"/>
                <w:szCs w:val="16"/>
              </w:rPr>
              <w:br/>
              <w:t>in Euro</w:t>
            </w:r>
          </w:p>
        </w:tc>
      </w:tr>
      <w:tr w:rsidR="00496D02" w:rsidRPr="00684172" w14:paraId="3842683E" w14:textId="77777777" w:rsidTr="00945C74">
        <w:tc>
          <w:tcPr>
            <w:tcW w:w="1701" w:type="dxa"/>
          </w:tcPr>
          <w:p w14:paraId="4BCE85FB" w14:textId="77777777" w:rsidR="00496D02" w:rsidRPr="00684172" w:rsidRDefault="00496D02" w:rsidP="00945C74">
            <w:pPr>
              <w:rPr>
                <w:sz w:val="20"/>
                <w:szCs w:val="20"/>
              </w:rPr>
            </w:pPr>
          </w:p>
          <w:p w14:paraId="4CF6DB47" w14:textId="77777777" w:rsidR="00496D02" w:rsidRDefault="00496D02" w:rsidP="00945C74">
            <w:pPr>
              <w:rPr>
                <w:sz w:val="20"/>
                <w:szCs w:val="20"/>
              </w:rPr>
            </w:pPr>
            <w:r w:rsidRPr="00684172">
              <w:rPr>
                <w:sz w:val="20"/>
                <w:szCs w:val="20"/>
              </w:rPr>
              <w:t>62-5.5</w:t>
            </w:r>
          </w:p>
          <w:p w14:paraId="128D0CBB" w14:textId="77777777" w:rsidR="00496D02" w:rsidRDefault="00496D02" w:rsidP="00945C74">
            <w:pPr>
              <w:rPr>
                <w:sz w:val="20"/>
                <w:szCs w:val="20"/>
              </w:rPr>
            </w:pPr>
          </w:p>
          <w:p w14:paraId="3F9A806F" w14:textId="35D3ABB1" w:rsidR="00743527" w:rsidRPr="00B763CC" w:rsidRDefault="00743527" w:rsidP="00743527">
            <w:pPr>
              <w:rPr>
                <w:sz w:val="20"/>
                <w:szCs w:val="20"/>
              </w:rPr>
            </w:pPr>
            <w:r w:rsidRPr="00B763CC">
              <w:rPr>
                <w:sz w:val="20"/>
                <w:szCs w:val="20"/>
              </w:rPr>
              <w:t>6250</w:t>
            </w:r>
            <w:r w:rsidR="00B763CC">
              <w:rPr>
                <w:sz w:val="20"/>
                <w:szCs w:val="20"/>
              </w:rPr>
              <w:t xml:space="preserve"> </w:t>
            </w:r>
            <w:r w:rsidRPr="00B763CC">
              <w:rPr>
                <w:sz w:val="20"/>
                <w:szCs w:val="20"/>
              </w:rPr>
              <w:t>5010</w:t>
            </w:r>
          </w:p>
          <w:p w14:paraId="046E557D" w14:textId="70A4E6D0" w:rsidR="00496D02" w:rsidRPr="00743527" w:rsidRDefault="00496D02" w:rsidP="00743527">
            <w:pPr>
              <w:rPr>
                <w:b/>
                <w:color w:val="FF0000"/>
                <w:sz w:val="20"/>
                <w:szCs w:val="20"/>
                <w:u w:val="single"/>
              </w:rPr>
            </w:pPr>
          </w:p>
        </w:tc>
        <w:tc>
          <w:tcPr>
            <w:tcW w:w="1701" w:type="dxa"/>
          </w:tcPr>
          <w:p w14:paraId="17D257D5" w14:textId="77777777" w:rsidR="00496D02" w:rsidRPr="00684172" w:rsidRDefault="00496D02" w:rsidP="00945C74">
            <w:pPr>
              <w:rPr>
                <w:sz w:val="20"/>
                <w:szCs w:val="20"/>
              </w:rPr>
            </w:pPr>
          </w:p>
          <w:p w14:paraId="7B803B6D" w14:textId="77777777" w:rsidR="00496D02" w:rsidRPr="00684172" w:rsidRDefault="00496D02" w:rsidP="00945C74">
            <w:pPr>
              <w:rPr>
                <w:sz w:val="20"/>
                <w:szCs w:val="20"/>
              </w:rPr>
            </w:pPr>
            <w:r w:rsidRPr="00684172">
              <w:rPr>
                <w:sz w:val="20"/>
                <w:szCs w:val="20"/>
              </w:rPr>
              <w:t>Stadtmessungsamt</w:t>
            </w:r>
          </w:p>
        </w:tc>
        <w:tc>
          <w:tcPr>
            <w:tcW w:w="851" w:type="dxa"/>
          </w:tcPr>
          <w:p w14:paraId="0174B585" w14:textId="77777777" w:rsidR="00496D02" w:rsidRPr="00684172" w:rsidRDefault="00496D02" w:rsidP="00945C74">
            <w:pPr>
              <w:rPr>
                <w:sz w:val="20"/>
                <w:szCs w:val="20"/>
              </w:rPr>
            </w:pPr>
          </w:p>
          <w:p w14:paraId="35A2C7AC" w14:textId="0F907F85" w:rsidR="00496D02" w:rsidRPr="00684172" w:rsidRDefault="00496D02" w:rsidP="00945C74">
            <w:pPr>
              <w:rPr>
                <w:sz w:val="20"/>
                <w:szCs w:val="20"/>
              </w:rPr>
            </w:pPr>
            <w:r w:rsidRPr="007455DC">
              <w:rPr>
                <w:sz w:val="20"/>
                <w:szCs w:val="20"/>
              </w:rPr>
              <w:t>EG</w:t>
            </w:r>
            <w:r>
              <w:rPr>
                <w:sz w:val="20"/>
                <w:szCs w:val="20"/>
              </w:rPr>
              <w:t xml:space="preserve"> </w:t>
            </w:r>
            <w:r w:rsidRPr="007455DC">
              <w:rPr>
                <w:sz w:val="20"/>
                <w:szCs w:val="20"/>
              </w:rPr>
              <w:t>1</w:t>
            </w:r>
            <w:r w:rsidRPr="00F40842">
              <w:rPr>
                <w:sz w:val="20"/>
                <w:szCs w:val="20"/>
              </w:rPr>
              <w:t>2</w:t>
            </w:r>
          </w:p>
        </w:tc>
        <w:tc>
          <w:tcPr>
            <w:tcW w:w="1701" w:type="dxa"/>
          </w:tcPr>
          <w:p w14:paraId="40D2D213" w14:textId="77777777" w:rsidR="00496D02" w:rsidRPr="00684172" w:rsidRDefault="00496D02" w:rsidP="00945C74">
            <w:pPr>
              <w:rPr>
                <w:sz w:val="20"/>
                <w:szCs w:val="20"/>
              </w:rPr>
            </w:pPr>
          </w:p>
          <w:p w14:paraId="641817E3" w14:textId="08003057" w:rsidR="00496D02" w:rsidRPr="00684172" w:rsidRDefault="00496D02" w:rsidP="00945C74">
            <w:pPr>
              <w:rPr>
                <w:sz w:val="20"/>
                <w:szCs w:val="20"/>
              </w:rPr>
            </w:pPr>
            <w:r w:rsidRPr="00496D02">
              <w:rPr>
                <w:rFonts w:cs="Arial"/>
                <w:sz w:val="20"/>
                <w:szCs w:val="20"/>
              </w:rPr>
              <w:t>Sachbearbeiter/</w:t>
            </w:r>
            <w:r w:rsidR="00B763CC">
              <w:rPr>
                <w:rFonts w:cs="Arial"/>
                <w:sz w:val="20"/>
                <w:szCs w:val="20"/>
              </w:rPr>
              <w:t xml:space="preserve"> </w:t>
            </w:r>
            <w:r w:rsidRPr="00496D02">
              <w:rPr>
                <w:rFonts w:cs="Arial"/>
                <w:sz w:val="20"/>
                <w:szCs w:val="20"/>
              </w:rPr>
              <w:t xml:space="preserve">-in </w:t>
            </w:r>
          </w:p>
        </w:tc>
        <w:tc>
          <w:tcPr>
            <w:tcW w:w="851" w:type="dxa"/>
            <w:shd w:val="pct12" w:color="auto" w:fill="FFFFFF"/>
          </w:tcPr>
          <w:p w14:paraId="0B594F30" w14:textId="77777777" w:rsidR="00496D02" w:rsidRPr="00684172" w:rsidRDefault="00496D02" w:rsidP="00945C74">
            <w:pPr>
              <w:rPr>
                <w:sz w:val="20"/>
                <w:szCs w:val="20"/>
              </w:rPr>
            </w:pPr>
          </w:p>
          <w:p w14:paraId="6A05C567" w14:textId="7BE81310" w:rsidR="00496D02" w:rsidRPr="00684172" w:rsidRDefault="00496D02" w:rsidP="00945C74">
            <w:pPr>
              <w:rPr>
                <w:sz w:val="20"/>
                <w:szCs w:val="20"/>
              </w:rPr>
            </w:pPr>
            <w:r w:rsidRPr="00684172">
              <w:rPr>
                <w:sz w:val="20"/>
                <w:szCs w:val="20"/>
              </w:rPr>
              <w:t>1</w:t>
            </w:r>
            <w:r>
              <w:rPr>
                <w:sz w:val="20"/>
                <w:szCs w:val="20"/>
              </w:rPr>
              <w:t>,0</w:t>
            </w:r>
          </w:p>
        </w:tc>
        <w:tc>
          <w:tcPr>
            <w:tcW w:w="1134" w:type="dxa"/>
          </w:tcPr>
          <w:p w14:paraId="7A7300FE" w14:textId="77777777" w:rsidR="00496D02" w:rsidRPr="00684172" w:rsidRDefault="00496D02" w:rsidP="00945C74">
            <w:pPr>
              <w:rPr>
                <w:sz w:val="20"/>
                <w:szCs w:val="20"/>
              </w:rPr>
            </w:pPr>
          </w:p>
          <w:p w14:paraId="28FA04CA" w14:textId="5B3DAAED" w:rsidR="00496D02" w:rsidRPr="00684172" w:rsidRDefault="00496D02" w:rsidP="00945C74">
            <w:pPr>
              <w:rPr>
                <w:sz w:val="20"/>
                <w:szCs w:val="20"/>
              </w:rPr>
            </w:pPr>
            <w:r>
              <w:rPr>
                <w:sz w:val="20"/>
                <w:szCs w:val="20"/>
              </w:rPr>
              <w:t>-</w:t>
            </w:r>
          </w:p>
        </w:tc>
        <w:tc>
          <w:tcPr>
            <w:tcW w:w="1588" w:type="dxa"/>
          </w:tcPr>
          <w:p w14:paraId="1A967E3F" w14:textId="77777777" w:rsidR="00496D02" w:rsidRPr="00684172" w:rsidRDefault="00496D02" w:rsidP="00945C74">
            <w:pPr>
              <w:rPr>
                <w:sz w:val="20"/>
                <w:szCs w:val="20"/>
              </w:rPr>
            </w:pPr>
          </w:p>
          <w:p w14:paraId="1A75E798" w14:textId="400B2E68" w:rsidR="00496D02" w:rsidRPr="00684172" w:rsidRDefault="00B763CC" w:rsidP="00945C74">
            <w:pPr>
              <w:rPr>
                <w:sz w:val="20"/>
                <w:szCs w:val="20"/>
              </w:rPr>
            </w:pPr>
            <w:r>
              <w:rPr>
                <w:sz w:val="20"/>
                <w:szCs w:val="20"/>
              </w:rPr>
              <w:t>88.800</w:t>
            </w:r>
          </w:p>
        </w:tc>
      </w:tr>
    </w:tbl>
    <w:p w14:paraId="0632DFEB" w14:textId="7401979A" w:rsidR="00496D02" w:rsidRDefault="00496D02" w:rsidP="00496D02">
      <w:pPr>
        <w:pStyle w:val="berschrift1"/>
      </w:pPr>
      <w:r w:rsidRPr="00884D6C">
        <w:t>1</w:t>
      </w:r>
      <w:r>
        <w:tab/>
      </w:r>
      <w:r w:rsidRPr="00884D6C">
        <w:t>Antra</w:t>
      </w:r>
      <w:r w:rsidRPr="00884D6C">
        <w:rPr>
          <w:u w:val="none"/>
        </w:rPr>
        <w:t>g</w:t>
      </w:r>
      <w:r w:rsidRPr="00884D6C">
        <w:t>, Stellenausstattun</w:t>
      </w:r>
      <w:r w:rsidRPr="00884D6C">
        <w:rPr>
          <w:u w:val="none"/>
        </w:rPr>
        <w:t>g</w:t>
      </w:r>
    </w:p>
    <w:p w14:paraId="68C4EEF8" w14:textId="73A67061" w:rsidR="00496D02" w:rsidRPr="00523232" w:rsidRDefault="00496D02" w:rsidP="00496D02">
      <w:r w:rsidRPr="00904D01">
        <w:t>Beantragt wird die Schaffung einer unbefristeten Stelle in der Entgeltgruppe E</w:t>
      </w:r>
      <w:r>
        <w:t xml:space="preserve">G </w:t>
      </w:r>
      <w:r w:rsidRPr="00904D01">
        <w:t xml:space="preserve">12 Sachgebiet 62-5.5 </w:t>
      </w:r>
      <w:r w:rsidRPr="00904D01">
        <w:rPr>
          <w:rFonts w:cs="Arial"/>
        </w:rPr>
        <w:t>GeoIT Serveradministration und IT-</w:t>
      </w:r>
      <w:r w:rsidRPr="00523232">
        <w:rPr>
          <w:rFonts w:cs="Arial"/>
        </w:rPr>
        <w:t>Betreuung</w:t>
      </w:r>
      <w:r w:rsidRPr="00523232">
        <w:t xml:space="preserve"> für den Systembetrieb und die Informationssicherheit </w:t>
      </w:r>
      <w:r>
        <w:t xml:space="preserve">der </w:t>
      </w:r>
      <w:r w:rsidRPr="00523232">
        <w:t xml:space="preserve">GIS und Fachverfahren. </w:t>
      </w:r>
    </w:p>
    <w:p w14:paraId="3A984279" w14:textId="08E22C9C" w:rsidR="00496D02" w:rsidRDefault="00496D02" w:rsidP="00496D02">
      <w:pPr>
        <w:pStyle w:val="berschrift1"/>
      </w:pPr>
      <w:r>
        <w:t>2</w:t>
      </w:r>
      <w:r>
        <w:tab/>
        <w:t>Schaffun</w:t>
      </w:r>
      <w:r w:rsidRPr="00884D6C">
        <w:rPr>
          <w:u w:val="none"/>
        </w:rPr>
        <w:t>g</w:t>
      </w:r>
      <w:r>
        <w:t>skriterien</w:t>
      </w:r>
    </w:p>
    <w:p w14:paraId="7E3AF904" w14:textId="77777777" w:rsidR="00496D02" w:rsidRPr="00523232" w:rsidRDefault="00496D02" w:rsidP="00496D02">
      <w:r w:rsidRPr="00523232">
        <w:t xml:space="preserve">Es handelt sich um eine bestehende Aufgabe, bei der durch die starke Arbeitsvermehrung zusätzlicher Personalbedarf besteht. </w:t>
      </w:r>
    </w:p>
    <w:p w14:paraId="44B1D5BB" w14:textId="77777777" w:rsidR="00496D02" w:rsidRDefault="00496D02" w:rsidP="00496D02">
      <w:pPr>
        <w:pStyle w:val="berschrift1"/>
      </w:pPr>
      <w:r>
        <w:t>3</w:t>
      </w:r>
      <w:r>
        <w:tab/>
        <w:t>Bedarf</w:t>
      </w:r>
    </w:p>
    <w:p w14:paraId="75614411" w14:textId="77777777" w:rsidR="00496D02" w:rsidRPr="00884D6C" w:rsidRDefault="00496D02" w:rsidP="00496D02">
      <w:pPr>
        <w:pStyle w:val="berschrift2"/>
      </w:pPr>
      <w:r w:rsidRPr="00884D6C">
        <w:t>3.1</w:t>
      </w:r>
      <w:r w:rsidRPr="00884D6C">
        <w:tab/>
        <w:t>Anlass</w:t>
      </w:r>
    </w:p>
    <w:p w14:paraId="16FAA6EC" w14:textId="6E7CCC41" w:rsidR="00C11E96" w:rsidRDefault="00C11E96" w:rsidP="00C11E96">
      <w:pPr>
        <w:jc w:val="both"/>
      </w:pPr>
      <w:r>
        <w:t xml:space="preserve">Das Sachgebiet ist </w:t>
      </w:r>
      <w:bookmarkStart w:id="0" w:name="_GoBack"/>
      <w:bookmarkEnd w:id="0"/>
      <w:r>
        <w:t xml:space="preserve">einerseits von der Umsetzung der Digitalisierung-Projekte im Stadtmessungsamt und andererseits von der dynamischen Entwicklung der GDI Stuttgart betroffen. Diese Entwicklungen werden sich fortsetzen und durch die tragende Rolle des Stadtmessungsamtes bei der Entwicklung und Umsetzung der Smart City Strategie der Landeshauptstadt Stuttgart beschleunigen. Im Rahmen der Smart City Stuttgart wird das Stadtmessungsamt insbesondere in den Bereichen Open Data und Urbane Digitale Zwillinge neue Aufgaben erhalten. Für die Erfüllung dieser Aufgaben werden weitere Serverumgebungen entstehen. Für die Einrichtung und den sicheren Betrieb dieser Serverumgebungen ist zwingend zusätzliches Personal erforderlich. </w:t>
      </w:r>
    </w:p>
    <w:p w14:paraId="21BBB284" w14:textId="77777777" w:rsidR="00496D02" w:rsidRPr="00165C0D" w:rsidRDefault="00496D02" w:rsidP="00496D02">
      <w:pPr>
        <w:pStyle w:val="berschrift2"/>
      </w:pPr>
      <w:r w:rsidRPr="00165C0D">
        <w:t>3.2</w:t>
      </w:r>
      <w:r w:rsidRPr="00165C0D">
        <w:tab/>
        <w:t>Bisherige Aufgabenwahrnehmung</w:t>
      </w:r>
    </w:p>
    <w:p w14:paraId="5BE37A39" w14:textId="32C3495C" w:rsidR="00496D02" w:rsidRDefault="00496D02" w:rsidP="00496D02">
      <w:pPr>
        <w:jc w:val="both"/>
      </w:pPr>
      <w:r>
        <w:t xml:space="preserve">Für die Einrichtung und den sicheren Betrieb dieser Serverumgebungen und der weiteren Digitalisierung der fachamtsspezifischen Aufgaben ist zwingend zusätzliches Personal erforderlich. </w:t>
      </w:r>
    </w:p>
    <w:p w14:paraId="40D4C246" w14:textId="77777777" w:rsidR="00496D02" w:rsidRPr="0041329E" w:rsidRDefault="00496D02" w:rsidP="00496D02">
      <w:pPr>
        <w:pStyle w:val="berschrift2"/>
      </w:pPr>
      <w:r w:rsidRPr="0041329E">
        <w:t>3.3</w:t>
      </w:r>
      <w:r w:rsidRPr="0041329E">
        <w:tab/>
        <w:t>Auswirkungen bei Ablehnung der Stellenschaffungen</w:t>
      </w:r>
    </w:p>
    <w:p w14:paraId="201B88C0" w14:textId="77777777" w:rsidR="00496D02" w:rsidRDefault="00496D02" w:rsidP="00496D02">
      <w:pPr>
        <w:contextualSpacing/>
        <w:rPr>
          <w:rFonts w:cs="Arial"/>
        </w:rPr>
      </w:pPr>
      <w:r w:rsidRPr="00F71C26">
        <w:rPr>
          <w:rFonts w:cs="Arial"/>
        </w:rPr>
        <w:t>Ohne die Schaffung der zusätzlichen</w:t>
      </w:r>
      <w:r>
        <w:rPr>
          <w:rFonts w:cs="Arial"/>
        </w:rPr>
        <w:t xml:space="preserve"> Stelle</w:t>
      </w:r>
      <w:r w:rsidRPr="00F71C26">
        <w:rPr>
          <w:rFonts w:cs="Arial"/>
        </w:rPr>
        <w:t xml:space="preserve"> ist der </w:t>
      </w:r>
      <w:r w:rsidRPr="00F71C26">
        <w:t xml:space="preserve">stabile, </w:t>
      </w:r>
      <w:r w:rsidRPr="00F71C26">
        <w:rPr>
          <w:rFonts w:cs="Arial"/>
        </w:rPr>
        <w:t xml:space="preserve">sichere, durchgängige </w:t>
      </w:r>
      <w:r w:rsidRPr="00F71C26">
        <w:t xml:space="preserve">und performante </w:t>
      </w:r>
      <w:r w:rsidRPr="00F71C26">
        <w:rPr>
          <w:rFonts w:cs="Arial"/>
        </w:rPr>
        <w:t xml:space="preserve">Betrieb der Systeme und Fachanwendungen </w:t>
      </w:r>
      <w:r>
        <w:t xml:space="preserve">im Stadtmessungsamt und </w:t>
      </w:r>
      <w:r w:rsidRPr="00F71C26">
        <w:t xml:space="preserve">in </w:t>
      </w:r>
      <w:r w:rsidRPr="00F71C26">
        <w:lastRenderedPageBreak/>
        <w:t>den 24</w:t>
      </w:r>
      <w:r>
        <w:t xml:space="preserve"> die Geodateninfrastruktur</w:t>
      </w:r>
      <w:r w:rsidRPr="00F71C26">
        <w:t xml:space="preserve"> nutzenden Fachämtern </w:t>
      </w:r>
      <w:r w:rsidRPr="00F71C26">
        <w:rPr>
          <w:rFonts w:cs="Arial"/>
        </w:rPr>
        <w:t xml:space="preserve">nicht mehr </w:t>
      </w:r>
      <w:r>
        <w:rPr>
          <w:rFonts w:cs="Arial"/>
        </w:rPr>
        <w:t>im erforderlichen Umfang</w:t>
      </w:r>
      <w:r w:rsidRPr="00F71C26">
        <w:rPr>
          <w:rFonts w:cs="Arial"/>
        </w:rPr>
        <w:t xml:space="preserve"> zu gewährleisten. </w:t>
      </w:r>
    </w:p>
    <w:p w14:paraId="354E55A0" w14:textId="77777777" w:rsidR="00496D02" w:rsidRPr="0041329E" w:rsidRDefault="00496D02" w:rsidP="00496D02">
      <w:pPr>
        <w:pStyle w:val="berschrift1"/>
      </w:pPr>
      <w:r w:rsidRPr="0041329E">
        <w:t>4</w:t>
      </w:r>
      <w:r w:rsidRPr="0041329E">
        <w:tab/>
        <w:t>Stellenvermerke</w:t>
      </w:r>
    </w:p>
    <w:p w14:paraId="0A4B23F2" w14:textId="77777777" w:rsidR="00B763CC" w:rsidRDefault="00B763CC" w:rsidP="00496D02"/>
    <w:p w14:paraId="2D1B7E5C" w14:textId="0ABC9F74" w:rsidR="00DE362D" w:rsidRPr="00496D02" w:rsidRDefault="00496D02" w:rsidP="00496D02">
      <w:r>
        <w:t xml:space="preserve">- </w:t>
      </w:r>
    </w:p>
    <w:sectPr w:rsidR="00DE362D" w:rsidRPr="00496D02"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6D87" w14:textId="77777777" w:rsidR="001C2A3B" w:rsidRDefault="001C2A3B">
      <w:r>
        <w:separator/>
      </w:r>
    </w:p>
  </w:endnote>
  <w:endnote w:type="continuationSeparator" w:id="0">
    <w:p w14:paraId="7806F7C1" w14:textId="77777777" w:rsidR="001C2A3B" w:rsidRDefault="001C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A204" w14:textId="77777777" w:rsidR="001C2A3B" w:rsidRDefault="001C2A3B">
      <w:r>
        <w:separator/>
      </w:r>
    </w:p>
  </w:footnote>
  <w:footnote w:type="continuationSeparator" w:id="0">
    <w:p w14:paraId="06823792" w14:textId="77777777" w:rsidR="001C2A3B" w:rsidRDefault="001C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EDDC" w14:textId="0D74AF23" w:rsidR="001C2A3B" w:rsidRDefault="001C2A3B">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C11E96">
      <w:rPr>
        <w:rStyle w:val="Seitenzahl"/>
        <w:noProof/>
      </w:rPr>
      <w:t>2</w:t>
    </w:r>
    <w:r>
      <w:rPr>
        <w:rStyle w:val="Seitenzahl"/>
      </w:rPr>
      <w:fldChar w:fldCharType="end"/>
    </w:r>
    <w:r>
      <w:rPr>
        <w:rStyle w:val="Seitenzahl"/>
      </w:rPr>
      <w:t xml:space="preserve"> -</w:t>
    </w:r>
  </w:p>
  <w:p w14:paraId="1D890B0F" w14:textId="77777777" w:rsidR="001C2A3B" w:rsidRDefault="001C2A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C77E6"/>
    <w:multiLevelType w:val="hybridMultilevel"/>
    <w:tmpl w:val="27DA4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CF44DA"/>
    <w:multiLevelType w:val="hybridMultilevel"/>
    <w:tmpl w:val="497A3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B04065"/>
    <w:multiLevelType w:val="hybridMultilevel"/>
    <w:tmpl w:val="5FF80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74BA"/>
    <w:multiLevelType w:val="hybridMultilevel"/>
    <w:tmpl w:val="A030D3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401078"/>
    <w:multiLevelType w:val="hybridMultilevel"/>
    <w:tmpl w:val="0F3CC7D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7"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35971AC6"/>
    <w:multiLevelType w:val="hybridMultilevel"/>
    <w:tmpl w:val="8C08B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10A41"/>
    <w:multiLevelType w:val="hybridMultilevel"/>
    <w:tmpl w:val="22E0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15:restartNumberingAfterBreak="0">
    <w:nsid w:val="475E126B"/>
    <w:multiLevelType w:val="hybridMultilevel"/>
    <w:tmpl w:val="9AB6A3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34C4CFD"/>
    <w:multiLevelType w:val="hybridMultilevel"/>
    <w:tmpl w:val="7B52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AE1BE0"/>
    <w:multiLevelType w:val="hybridMultilevel"/>
    <w:tmpl w:val="19064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C636A7"/>
    <w:multiLevelType w:val="hybridMultilevel"/>
    <w:tmpl w:val="CBA4E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D446BD"/>
    <w:multiLevelType w:val="hybridMultilevel"/>
    <w:tmpl w:val="E74A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813C4C"/>
    <w:multiLevelType w:val="hybridMultilevel"/>
    <w:tmpl w:val="E884A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1E74D4"/>
    <w:multiLevelType w:val="hybridMultilevel"/>
    <w:tmpl w:val="8EF0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15:restartNumberingAfterBreak="0">
    <w:nsid w:val="73C6522B"/>
    <w:multiLevelType w:val="hybridMultilevel"/>
    <w:tmpl w:val="43F6B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6"/>
  </w:num>
  <w:num w:numId="4">
    <w:abstractNumId w:val="10"/>
  </w:num>
  <w:num w:numId="5">
    <w:abstractNumId w:val="18"/>
  </w:num>
  <w:num w:numId="6">
    <w:abstractNumId w:val="16"/>
  </w:num>
  <w:num w:numId="7">
    <w:abstractNumId w:val="11"/>
  </w:num>
  <w:num w:numId="8">
    <w:abstractNumId w:val="15"/>
  </w:num>
  <w:num w:numId="9">
    <w:abstractNumId w:val="5"/>
  </w:num>
  <w:num w:numId="10">
    <w:abstractNumId w:val="14"/>
  </w:num>
  <w:num w:numId="11">
    <w:abstractNumId w:val="13"/>
  </w:num>
  <w:num w:numId="12">
    <w:abstractNumId w:val="8"/>
  </w:num>
  <w:num w:numId="13">
    <w:abstractNumId w:val="2"/>
  </w:num>
  <w:num w:numId="14">
    <w:abstractNumId w:val="12"/>
  </w:num>
  <w:num w:numId="15">
    <w:abstractNumId w:val="17"/>
  </w:num>
  <w:num w:numId="16">
    <w:abstractNumId w:val="9"/>
  </w:num>
  <w:num w:numId="17">
    <w:abstractNumId w:val="3"/>
  </w:num>
  <w:num w:numId="18">
    <w:abstractNumId w:val="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F8"/>
    <w:rsid w:val="00007B5D"/>
    <w:rsid w:val="00026253"/>
    <w:rsid w:val="00055758"/>
    <w:rsid w:val="000572ED"/>
    <w:rsid w:val="00061F0B"/>
    <w:rsid w:val="000620FB"/>
    <w:rsid w:val="0008325E"/>
    <w:rsid w:val="000A1146"/>
    <w:rsid w:val="000D3CBB"/>
    <w:rsid w:val="001034AF"/>
    <w:rsid w:val="0011112B"/>
    <w:rsid w:val="00120EE1"/>
    <w:rsid w:val="0014415D"/>
    <w:rsid w:val="00144695"/>
    <w:rsid w:val="00147EC8"/>
    <w:rsid w:val="00151488"/>
    <w:rsid w:val="00163034"/>
    <w:rsid w:val="00164678"/>
    <w:rsid w:val="00165C0D"/>
    <w:rsid w:val="00181857"/>
    <w:rsid w:val="0018297C"/>
    <w:rsid w:val="00184EDC"/>
    <w:rsid w:val="00194770"/>
    <w:rsid w:val="00194D00"/>
    <w:rsid w:val="001A5F9B"/>
    <w:rsid w:val="001C2A3B"/>
    <w:rsid w:val="001F7237"/>
    <w:rsid w:val="00204B93"/>
    <w:rsid w:val="00266868"/>
    <w:rsid w:val="002817E2"/>
    <w:rsid w:val="002924CB"/>
    <w:rsid w:val="002A20D1"/>
    <w:rsid w:val="002A4DE3"/>
    <w:rsid w:val="002B5955"/>
    <w:rsid w:val="002F0E07"/>
    <w:rsid w:val="0030686C"/>
    <w:rsid w:val="003620F2"/>
    <w:rsid w:val="00380937"/>
    <w:rsid w:val="00383E06"/>
    <w:rsid w:val="00397717"/>
    <w:rsid w:val="003B78BE"/>
    <w:rsid w:val="003D4EFE"/>
    <w:rsid w:val="003D7B0B"/>
    <w:rsid w:val="003E0F4B"/>
    <w:rsid w:val="003E7645"/>
    <w:rsid w:val="003F0FAA"/>
    <w:rsid w:val="0041329E"/>
    <w:rsid w:val="00422248"/>
    <w:rsid w:val="00463979"/>
    <w:rsid w:val="00470135"/>
    <w:rsid w:val="0047606A"/>
    <w:rsid w:val="004908B5"/>
    <w:rsid w:val="0049121B"/>
    <w:rsid w:val="00496D02"/>
    <w:rsid w:val="004A1688"/>
    <w:rsid w:val="004B6796"/>
    <w:rsid w:val="004E3FA9"/>
    <w:rsid w:val="005206EE"/>
    <w:rsid w:val="005A0A9D"/>
    <w:rsid w:val="005A56AA"/>
    <w:rsid w:val="005E19C6"/>
    <w:rsid w:val="005E677F"/>
    <w:rsid w:val="005F5B3D"/>
    <w:rsid w:val="00606F80"/>
    <w:rsid w:val="00622CC7"/>
    <w:rsid w:val="006238A6"/>
    <w:rsid w:val="00650CFA"/>
    <w:rsid w:val="00684172"/>
    <w:rsid w:val="00692764"/>
    <w:rsid w:val="006A2FF8"/>
    <w:rsid w:val="006A406B"/>
    <w:rsid w:val="006B633A"/>
    <w:rsid w:val="006B6D50"/>
    <w:rsid w:val="006E0575"/>
    <w:rsid w:val="006E4800"/>
    <w:rsid w:val="0072799A"/>
    <w:rsid w:val="00743527"/>
    <w:rsid w:val="00754659"/>
    <w:rsid w:val="007B6F3B"/>
    <w:rsid w:val="007E3B79"/>
    <w:rsid w:val="008066EE"/>
    <w:rsid w:val="00810A04"/>
    <w:rsid w:val="00817BB6"/>
    <w:rsid w:val="00864D60"/>
    <w:rsid w:val="00884D6C"/>
    <w:rsid w:val="008B2372"/>
    <w:rsid w:val="008B75F7"/>
    <w:rsid w:val="008C090C"/>
    <w:rsid w:val="008C106B"/>
    <w:rsid w:val="008F76E9"/>
    <w:rsid w:val="00904D01"/>
    <w:rsid w:val="00917B2A"/>
    <w:rsid w:val="00920F00"/>
    <w:rsid w:val="009339BD"/>
    <w:rsid w:val="009373F6"/>
    <w:rsid w:val="00945E05"/>
    <w:rsid w:val="00946276"/>
    <w:rsid w:val="0096038F"/>
    <w:rsid w:val="00976588"/>
    <w:rsid w:val="009B5C18"/>
    <w:rsid w:val="009F5A6B"/>
    <w:rsid w:val="00A022B7"/>
    <w:rsid w:val="00A15192"/>
    <w:rsid w:val="00A23F70"/>
    <w:rsid w:val="00A247FA"/>
    <w:rsid w:val="00A27CA7"/>
    <w:rsid w:val="00A30FEF"/>
    <w:rsid w:val="00A45B30"/>
    <w:rsid w:val="00A71D0A"/>
    <w:rsid w:val="00A77F1E"/>
    <w:rsid w:val="00A847C4"/>
    <w:rsid w:val="00AB389D"/>
    <w:rsid w:val="00AC4226"/>
    <w:rsid w:val="00AE7B02"/>
    <w:rsid w:val="00AF00D8"/>
    <w:rsid w:val="00AF0DEA"/>
    <w:rsid w:val="00AF25E0"/>
    <w:rsid w:val="00B04290"/>
    <w:rsid w:val="00B54A0C"/>
    <w:rsid w:val="00B60B78"/>
    <w:rsid w:val="00B735CA"/>
    <w:rsid w:val="00B763CC"/>
    <w:rsid w:val="00B80DEF"/>
    <w:rsid w:val="00B86BB5"/>
    <w:rsid w:val="00B91903"/>
    <w:rsid w:val="00BA0990"/>
    <w:rsid w:val="00BC4669"/>
    <w:rsid w:val="00BE4B8D"/>
    <w:rsid w:val="00BE50B5"/>
    <w:rsid w:val="00C11E96"/>
    <w:rsid w:val="00C16EF1"/>
    <w:rsid w:val="00C448D3"/>
    <w:rsid w:val="00C8012F"/>
    <w:rsid w:val="00CC3662"/>
    <w:rsid w:val="00CF62E5"/>
    <w:rsid w:val="00D66D3A"/>
    <w:rsid w:val="00D743D4"/>
    <w:rsid w:val="00DB3D6C"/>
    <w:rsid w:val="00DE362D"/>
    <w:rsid w:val="00DE38F0"/>
    <w:rsid w:val="00DE61E1"/>
    <w:rsid w:val="00E014B6"/>
    <w:rsid w:val="00E041D8"/>
    <w:rsid w:val="00E1162F"/>
    <w:rsid w:val="00E11D5F"/>
    <w:rsid w:val="00E20E1F"/>
    <w:rsid w:val="00E42F96"/>
    <w:rsid w:val="00E56FF8"/>
    <w:rsid w:val="00E7118F"/>
    <w:rsid w:val="00EA564D"/>
    <w:rsid w:val="00EC01F0"/>
    <w:rsid w:val="00F02F5F"/>
    <w:rsid w:val="00F27657"/>
    <w:rsid w:val="00F342DC"/>
    <w:rsid w:val="00F40842"/>
    <w:rsid w:val="00F56F93"/>
    <w:rsid w:val="00F63041"/>
    <w:rsid w:val="00F71C26"/>
    <w:rsid w:val="00F76452"/>
    <w:rsid w:val="00FD6B46"/>
    <w:rsid w:val="00FF6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BC694"/>
  <w15:docId w15:val="{41CABEDD-7B28-467F-82AA-B9EF00FF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864D60"/>
    <w:pPr>
      <w:ind w:left="720"/>
      <w:contextualSpacing/>
    </w:pPr>
  </w:style>
  <w:style w:type="character" w:styleId="Kommentarzeichen">
    <w:name w:val="annotation reference"/>
    <w:basedOn w:val="Absatz-Standardschriftart"/>
    <w:semiHidden/>
    <w:unhideWhenUsed/>
    <w:rsid w:val="00810A04"/>
    <w:rPr>
      <w:sz w:val="16"/>
      <w:szCs w:val="16"/>
    </w:rPr>
  </w:style>
  <w:style w:type="paragraph" w:styleId="Kommentartext">
    <w:name w:val="annotation text"/>
    <w:basedOn w:val="Standard"/>
    <w:link w:val="KommentartextZchn"/>
    <w:semiHidden/>
    <w:unhideWhenUsed/>
    <w:rsid w:val="00810A04"/>
    <w:rPr>
      <w:sz w:val="20"/>
      <w:szCs w:val="20"/>
    </w:rPr>
  </w:style>
  <w:style w:type="character" w:customStyle="1" w:styleId="KommentartextZchn">
    <w:name w:val="Kommentartext Zchn"/>
    <w:basedOn w:val="Absatz-Standardschriftart"/>
    <w:link w:val="Kommentartext"/>
    <w:semiHidden/>
    <w:rsid w:val="00810A04"/>
    <w:rPr>
      <w:sz w:val="20"/>
      <w:szCs w:val="20"/>
    </w:rPr>
  </w:style>
  <w:style w:type="paragraph" w:styleId="Kommentarthema">
    <w:name w:val="annotation subject"/>
    <w:basedOn w:val="Kommentartext"/>
    <w:next w:val="Kommentartext"/>
    <w:link w:val="KommentarthemaZchn"/>
    <w:semiHidden/>
    <w:unhideWhenUsed/>
    <w:rsid w:val="00810A04"/>
    <w:rPr>
      <w:b/>
      <w:bCs/>
    </w:rPr>
  </w:style>
  <w:style w:type="character" w:customStyle="1" w:styleId="KommentarthemaZchn">
    <w:name w:val="Kommentarthema Zchn"/>
    <w:basedOn w:val="KommentartextZchn"/>
    <w:link w:val="Kommentarthema"/>
    <w:semiHidden/>
    <w:rsid w:val="00810A04"/>
    <w:rPr>
      <w:b/>
      <w:bCs/>
      <w:sz w:val="20"/>
      <w:szCs w:val="20"/>
    </w:rPr>
  </w:style>
  <w:style w:type="paragraph" w:styleId="Sprechblasentext">
    <w:name w:val="Balloon Text"/>
    <w:basedOn w:val="Standard"/>
    <w:link w:val="SprechblasentextZchn"/>
    <w:semiHidden/>
    <w:unhideWhenUsed/>
    <w:rsid w:val="00810A04"/>
    <w:rPr>
      <w:rFonts w:ascii="Segoe UI" w:hAnsi="Segoe UI" w:cs="Segoe UI"/>
      <w:sz w:val="18"/>
      <w:szCs w:val="18"/>
    </w:rPr>
  </w:style>
  <w:style w:type="character" w:customStyle="1" w:styleId="SprechblasentextZchn">
    <w:name w:val="Sprechblasentext Zchn"/>
    <w:basedOn w:val="Absatz-Standardschriftart"/>
    <w:link w:val="Sprechblasentext"/>
    <w:semiHidden/>
    <w:rsid w:val="00810A04"/>
    <w:rPr>
      <w:rFonts w:ascii="Segoe UI" w:hAnsi="Segoe UI" w:cs="Segoe UI"/>
      <w:sz w:val="18"/>
      <w:szCs w:val="18"/>
    </w:rPr>
  </w:style>
  <w:style w:type="character" w:styleId="Hyperlink">
    <w:name w:val="Hyperlink"/>
    <w:basedOn w:val="Absatz-Standardschriftart"/>
    <w:unhideWhenUsed/>
    <w:rsid w:val="00BE4B8D"/>
    <w:rPr>
      <w:color w:val="0000FF" w:themeColor="hyperlink"/>
      <w:u w:val="single"/>
    </w:rPr>
  </w:style>
  <w:style w:type="character" w:styleId="Hervorhebung">
    <w:name w:val="Emphasis"/>
    <w:basedOn w:val="Absatz-Standardschriftart"/>
    <w:uiPriority w:val="20"/>
    <w:qFormat/>
    <w:rsid w:val="00BE4B8D"/>
    <w:rPr>
      <w:i/>
      <w:iCs/>
    </w:rPr>
  </w:style>
  <w:style w:type="paragraph" w:styleId="Funotentext">
    <w:name w:val="footnote text"/>
    <w:basedOn w:val="Standard"/>
    <w:link w:val="FunotentextZchn"/>
    <w:semiHidden/>
    <w:unhideWhenUsed/>
    <w:rsid w:val="00204B93"/>
    <w:rPr>
      <w:sz w:val="20"/>
      <w:szCs w:val="20"/>
    </w:rPr>
  </w:style>
  <w:style w:type="character" w:customStyle="1" w:styleId="FunotentextZchn">
    <w:name w:val="Fußnotentext Zchn"/>
    <w:basedOn w:val="Absatz-Standardschriftart"/>
    <w:link w:val="Funotentext"/>
    <w:semiHidden/>
    <w:rsid w:val="00204B93"/>
    <w:rPr>
      <w:sz w:val="20"/>
      <w:szCs w:val="20"/>
    </w:rPr>
  </w:style>
  <w:style w:type="character" w:styleId="Funotenzeichen">
    <w:name w:val="footnote reference"/>
    <w:basedOn w:val="Absatz-Standardschriftart"/>
    <w:semiHidden/>
    <w:unhideWhenUsed/>
    <w:rsid w:val="00204B93"/>
    <w:rPr>
      <w:vertAlign w:val="superscript"/>
    </w:rPr>
  </w:style>
  <w:style w:type="table" w:styleId="Tabellenraster">
    <w:name w:val="Table Grid"/>
    <w:basedOn w:val="NormaleTabelle"/>
    <w:rsid w:val="00904D0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77699">
      <w:bodyDiv w:val="1"/>
      <w:marLeft w:val="0"/>
      <w:marRight w:val="0"/>
      <w:marTop w:val="0"/>
      <w:marBottom w:val="0"/>
      <w:divBdr>
        <w:top w:val="none" w:sz="0" w:space="0" w:color="auto"/>
        <w:left w:val="none" w:sz="0" w:space="0" w:color="auto"/>
        <w:bottom w:val="none" w:sz="0" w:space="0" w:color="auto"/>
        <w:right w:val="none" w:sz="0" w:space="0" w:color="auto"/>
      </w:divBdr>
    </w:div>
    <w:div w:id="1851064839">
      <w:bodyDiv w:val="1"/>
      <w:marLeft w:val="0"/>
      <w:marRight w:val="0"/>
      <w:marTop w:val="0"/>
      <w:marBottom w:val="0"/>
      <w:divBdr>
        <w:top w:val="none" w:sz="0" w:space="0" w:color="auto"/>
        <w:left w:val="none" w:sz="0" w:space="0" w:color="auto"/>
        <w:bottom w:val="none" w:sz="0" w:space="0" w:color="auto"/>
        <w:right w:val="none" w:sz="0" w:space="0" w:color="auto"/>
      </w:divBdr>
    </w:div>
    <w:div w:id="20811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1731-18F7-4A16-84A1-4C65E88A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Müller, Markus</dc:creator>
  <cp:lastModifiedBy>Baumann, Gerhard</cp:lastModifiedBy>
  <cp:revision>25</cp:revision>
  <cp:lastPrinted>2023-10-19T05:58:00Z</cp:lastPrinted>
  <dcterms:created xsi:type="dcterms:W3CDTF">2023-01-16T18:23:00Z</dcterms:created>
  <dcterms:modified xsi:type="dcterms:W3CDTF">2023-10-19T05:58:00Z</dcterms:modified>
</cp:coreProperties>
</file>