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ED9" w:rsidRDefault="009E4ED9">
      <w:pPr>
        <w:pStyle w:val="berschrift1"/>
        <w:jc w:val="center"/>
        <w:rPr>
          <w:caps/>
        </w:rPr>
      </w:pPr>
      <w:r>
        <w:rPr>
          <w:caps/>
        </w:rPr>
        <w:t>Lagebe</w:t>
      </w:r>
      <w:r w:rsidR="00012396">
        <w:rPr>
          <w:caps/>
        </w:rPr>
        <w:t xml:space="preserve">richt für das </w:t>
      </w:r>
      <w:r w:rsidR="00D8406F">
        <w:rPr>
          <w:caps/>
        </w:rPr>
        <w:t>Wirtschaftsjahr</w:t>
      </w:r>
      <w:r w:rsidR="000C684A">
        <w:rPr>
          <w:caps/>
        </w:rPr>
        <w:t xml:space="preserve"> 2012</w:t>
      </w:r>
    </w:p>
    <w:p w:rsidR="009E4ED9" w:rsidRDefault="009E4ED9">
      <w:pPr>
        <w:pStyle w:val="Formatvorlage1"/>
        <w:tabs>
          <w:tab w:val="clear" w:pos="709"/>
        </w:tabs>
        <w:spacing w:line="120" w:lineRule="auto"/>
      </w:pPr>
    </w:p>
    <w:p w:rsidR="009E4ED9" w:rsidRDefault="00D53C47">
      <w:pPr>
        <w:pStyle w:val="Textkrper"/>
        <w:rPr>
          <w:sz w:val="22"/>
        </w:rPr>
      </w:pPr>
      <w:r>
        <w:rPr>
          <w:sz w:val="22"/>
        </w:rPr>
        <w:t>Für</w:t>
      </w:r>
      <w:r w:rsidR="00BB1B5E">
        <w:rPr>
          <w:sz w:val="22"/>
        </w:rPr>
        <w:t xml:space="preserve"> 2012</w:t>
      </w:r>
      <w:r w:rsidR="002114C4">
        <w:rPr>
          <w:sz w:val="22"/>
        </w:rPr>
        <w:t xml:space="preserve"> </w:t>
      </w:r>
      <w:r w:rsidR="00056FC0">
        <w:rPr>
          <w:sz w:val="22"/>
        </w:rPr>
        <w:t>hat der Eigenbetrieb Stadtentwässerung Stuttgart</w:t>
      </w:r>
      <w:r w:rsidR="002114C4">
        <w:rPr>
          <w:sz w:val="22"/>
        </w:rPr>
        <w:t xml:space="preserve"> ein </w:t>
      </w:r>
      <w:r w:rsidR="0045154F">
        <w:rPr>
          <w:sz w:val="22"/>
        </w:rPr>
        <w:t xml:space="preserve">Jahresergebnis </w:t>
      </w:r>
      <w:r w:rsidR="003B6D86">
        <w:rPr>
          <w:sz w:val="22"/>
        </w:rPr>
        <w:t>in Höhe von 6,2</w:t>
      </w:r>
      <w:r w:rsidR="00F73E43">
        <w:rPr>
          <w:sz w:val="22"/>
        </w:rPr>
        <w:t>4</w:t>
      </w:r>
      <w:r w:rsidR="002114C4">
        <w:rPr>
          <w:sz w:val="22"/>
        </w:rPr>
        <w:t xml:space="preserve"> Mio. EUR er</w:t>
      </w:r>
      <w:r w:rsidR="00056FC0">
        <w:rPr>
          <w:sz w:val="22"/>
        </w:rPr>
        <w:t>reicht</w:t>
      </w:r>
      <w:r w:rsidR="002114C4">
        <w:rPr>
          <w:sz w:val="22"/>
        </w:rPr>
        <w:t xml:space="preserve">. </w:t>
      </w:r>
      <w:r>
        <w:rPr>
          <w:sz w:val="22"/>
        </w:rPr>
        <w:t xml:space="preserve">Dabei lagen die Gesamterträge über den geplanten Ansätzen während die Gesamtaufwendungen auf Planniveau gehalten </w:t>
      </w:r>
      <w:r w:rsidR="001217F4">
        <w:rPr>
          <w:sz w:val="22"/>
        </w:rPr>
        <w:t>werden kon</w:t>
      </w:r>
      <w:r w:rsidR="001217F4">
        <w:rPr>
          <w:sz w:val="22"/>
        </w:rPr>
        <w:t>n</w:t>
      </w:r>
      <w:r w:rsidR="001217F4">
        <w:rPr>
          <w:sz w:val="22"/>
        </w:rPr>
        <w:t>ten</w:t>
      </w:r>
      <w:r>
        <w:rPr>
          <w:sz w:val="22"/>
        </w:rPr>
        <w:t xml:space="preserve">. Entscheidend für das gute Ertragsergebnis </w:t>
      </w:r>
      <w:r w:rsidR="001217F4">
        <w:rPr>
          <w:sz w:val="22"/>
        </w:rPr>
        <w:t xml:space="preserve">2012 </w:t>
      </w:r>
      <w:r>
        <w:rPr>
          <w:sz w:val="22"/>
        </w:rPr>
        <w:t xml:space="preserve">sind in erster Linie die relativ konstanten Schmutzwassermengen und </w:t>
      </w:r>
      <w:r w:rsidR="000D3D95">
        <w:rPr>
          <w:sz w:val="22"/>
        </w:rPr>
        <w:t>die stabilen Ni</w:t>
      </w:r>
      <w:r w:rsidR="001217F4">
        <w:rPr>
          <w:sz w:val="22"/>
        </w:rPr>
        <w:t>ederschlagswasserflächen</w:t>
      </w:r>
      <w:r w:rsidR="000D3D95">
        <w:rPr>
          <w:sz w:val="22"/>
        </w:rPr>
        <w:t>. M</w:t>
      </w:r>
      <w:r w:rsidR="001217F4">
        <w:rPr>
          <w:sz w:val="22"/>
        </w:rPr>
        <w:t xml:space="preserve">it </w:t>
      </w:r>
      <w:r w:rsidR="000D3D95">
        <w:rPr>
          <w:sz w:val="22"/>
        </w:rPr>
        <w:t>veranlagten Schmutzwassermenge</w:t>
      </w:r>
      <w:r w:rsidR="001217F4">
        <w:rPr>
          <w:sz w:val="22"/>
        </w:rPr>
        <w:t>n</w:t>
      </w:r>
      <w:r w:rsidR="000D3D95">
        <w:rPr>
          <w:sz w:val="22"/>
        </w:rPr>
        <w:t xml:space="preserve"> von 35,8 Mio. m³ lag</w:t>
      </w:r>
      <w:r w:rsidR="001217F4">
        <w:rPr>
          <w:sz w:val="22"/>
        </w:rPr>
        <w:t>en</w:t>
      </w:r>
      <w:r w:rsidR="000D3D95">
        <w:rPr>
          <w:sz w:val="22"/>
        </w:rPr>
        <w:t xml:space="preserve"> diese höher als geplant aber auch etwas niedriger als im Vorjahr. </w:t>
      </w:r>
      <w:r w:rsidR="00416D24">
        <w:rPr>
          <w:sz w:val="22"/>
        </w:rPr>
        <w:t>Gleichzeitig konnten die Gesamtaufwendu</w:t>
      </w:r>
      <w:r w:rsidR="00416D24">
        <w:rPr>
          <w:sz w:val="22"/>
        </w:rPr>
        <w:t>n</w:t>
      </w:r>
      <w:r w:rsidR="001217F4">
        <w:rPr>
          <w:sz w:val="22"/>
        </w:rPr>
        <w:t xml:space="preserve">gen, trotz der einen oder anderen Verschiebung, </w:t>
      </w:r>
      <w:r w:rsidR="00416D24">
        <w:rPr>
          <w:sz w:val="22"/>
        </w:rPr>
        <w:t>auf geplantem Niveau gehalten we</w:t>
      </w:r>
      <w:r w:rsidR="00416D24">
        <w:rPr>
          <w:sz w:val="22"/>
        </w:rPr>
        <w:t>r</w:t>
      </w:r>
      <w:r w:rsidR="00416D24">
        <w:rPr>
          <w:sz w:val="22"/>
        </w:rPr>
        <w:t xml:space="preserve">den. </w:t>
      </w:r>
      <w:r w:rsidR="00D0654C">
        <w:rPr>
          <w:sz w:val="22"/>
        </w:rPr>
        <w:t>Z</w:t>
      </w:r>
      <w:r w:rsidR="00E0094E">
        <w:rPr>
          <w:sz w:val="22"/>
        </w:rPr>
        <w:t xml:space="preserve">ur Modernisierung und </w:t>
      </w:r>
      <w:r w:rsidR="002F68F9" w:rsidRPr="00A767ED">
        <w:rPr>
          <w:sz w:val="22"/>
        </w:rPr>
        <w:t xml:space="preserve">Erhalt </w:t>
      </w:r>
      <w:r w:rsidR="00E0094E">
        <w:rPr>
          <w:sz w:val="22"/>
        </w:rPr>
        <w:t>der Abwasseranlagen des Eigen</w:t>
      </w:r>
      <w:r w:rsidR="00922A33">
        <w:rPr>
          <w:sz w:val="22"/>
        </w:rPr>
        <w:t xml:space="preserve">betriebs </w:t>
      </w:r>
      <w:r w:rsidR="00045DD6">
        <w:rPr>
          <w:sz w:val="22"/>
        </w:rPr>
        <w:t>wurden</w:t>
      </w:r>
      <w:r w:rsidR="00922A33">
        <w:rPr>
          <w:sz w:val="22"/>
        </w:rPr>
        <w:t xml:space="preserve"> </w:t>
      </w:r>
      <w:r w:rsidR="00FC27B6">
        <w:rPr>
          <w:sz w:val="22"/>
        </w:rPr>
        <w:t xml:space="preserve">2012 </w:t>
      </w:r>
      <w:r w:rsidR="00922A33">
        <w:rPr>
          <w:sz w:val="22"/>
        </w:rPr>
        <w:t>ins</w:t>
      </w:r>
      <w:r w:rsidR="00416D24">
        <w:rPr>
          <w:sz w:val="22"/>
        </w:rPr>
        <w:t>gesamt 40,39</w:t>
      </w:r>
      <w:r w:rsidR="00E0094E">
        <w:rPr>
          <w:sz w:val="22"/>
        </w:rPr>
        <w:t xml:space="preserve"> Mio. EUR investiert. </w:t>
      </w:r>
      <w:r w:rsidR="000D3D95">
        <w:rPr>
          <w:sz w:val="22"/>
        </w:rPr>
        <w:t>Die</w:t>
      </w:r>
      <w:r w:rsidR="00416D24">
        <w:rPr>
          <w:sz w:val="22"/>
        </w:rPr>
        <w:t xml:space="preserve"> Abwassergebühren </w:t>
      </w:r>
      <w:r w:rsidR="000D3D95">
        <w:rPr>
          <w:sz w:val="22"/>
        </w:rPr>
        <w:t>2012 der</w:t>
      </w:r>
      <w:r w:rsidR="00416D24">
        <w:rPr>
          <w:sz w:val="22"/>
        </w:rPr>
        <w:t xml:space="preserve"> Lande</w:t>
      </w:r>
      <w:r w:rsidR="00416D24">
        <w:rPr>
          <w:sz w:val="22"/>
        </w:rPr>
        <w:t>s</w:t>
      </w:r>
      <w:r w:rsidR="00416D24">
        <w:rPr>
          <w:sz w:val="22"/>
        </w:rPr>
        <w:t xml:space="preserve">hauptstadt Stuttgart </w:t>
      </w:r>
      <w:r w:rsidR="000D3D95">
        <w:rPr>
          <w:sz w:val="22"/>
        </w:rPr>
        <w:t xml:space="preserve">waren </w:t>
      </w:r>
      <w:r w:rsidR="00416D24">
        <w:rPr>
          <w:sz w:val="22"/>
        </w:rPr>
        <w:t>mit einem</w:t>
      </w:r>
      <w:r w:rsidR="00D0654C">
        <w:rPr>
          <w:sz w:val="22"/>
        </w:rPr>
        <w:t xml:space="preserve"> </w:t>
      </w:r>
      <w:r w:rsidR="00FA7290" w:rsidRPr="00A767ED">
        <w:rPr>
          <w:sz w:val="22"/>
        </w:rPr>
        <w:t>Schmutzwasser</w:t>
      </w:r>
      <w:r w:rsidR="00BA2011">
        <w:rPr>
          <w:sz w:val="22"/>
        </w:rPr>
        <w:t xml:space="preserve">entgelt </w:t>
      </w:r>
      <w:r w:rsidR="00416D24">
        <w:rPr>
          <w:sz w:val="22"/>
        </w:rPr>
        <w:t>von</w:t>
      </w:r>
      <w:r w:rsidR="00E552FC">
        <w:rPr>
          <w:sz w:val="22"/>
        </w:rPr>
        <w:t xml:space="preserve"> </w:t>
      </w:r>
      <w:r w:rsidR="00FC27B6">
        <w:rPr>
          <w:sz w:val="22"/>
        </w:rPr>
        <w:t>1,6</w:t>
      </w:r>
      <w:r w:rsidR="0016054B">
        <w:rPr>
          <w:sz w:val="22"/>
        </w:rPr>
        <w:t>2</w:t>
      </w:r>
      <w:r w:rsidR="00FA7290" w:rsidRPr="00A767ED">
        <w:rPr>
          <w:sz w:val="22"/>
        </w:rPr>
        <w:t xml:space="preserve"> EUR/m³ </w:t>
      </w:r>
      <w:r w:rsidR="00922A33">
        <w:rPr>
          <w:sz w:val="22"/>
        </w:rPr>
        <w:t>(Vor</w:t>
      </w:r>
      <w:r w:rsidR="00FC27B6">
        <w:rPr>
          <w:sz w:val="22"/>
        </w:rPr>
        <w:t>jahr 1,5</w:t>
      </w:r>
      <w:r w:rsidR="00922A33">
        <w:rPr>
          <w:sz w:val="22"/>
        </w:rPr>
        <w:t xml:space="preserve">2 EUR/m³) </w:t>
      </w:r>
      <w:r w:rsidR="00FA7290" w:rsidRPr="00A767ED">
        <w:rPr>
          <w:sz w:val="22"/>
        </w:rPr>
        <w:t xml:space="preserve">und </w:t>
      </w:r>
      <w:r w:rsidR="00D0654C">
        <w:rPr>
          <w:sz w:val="22"/>
        </w:rPr>
        <w:t>einer</w:t>
      </w:r>
      <w:r w:rsidR="005B786A">
        <w:rPr>
          <w:sz w:val="22"/>
        </w:rPr>
        <w:t xml:space="preserve"> </w:t>
      </w:r>
      <w:r w:rsidR="00FA7290" w:rsidRPr="00A767ED">
        <w:rPr>
          <w:sz w:val="22"/>
        </w:rPr>
        <w:t>Niederschlagswasser</w:t>
      </w:r>
      <w:r w:rsidR="009B46A8">
        <w:rPr>
          <w:sz w:val="22"/>
        </w:rPr>
        <w:t>ge</w:t>
      </w:r>
      <w:r w:rsidR="00B2151A">
        <w:rPr>
          <w:sz w:val="22"/>
        </w:rPr>
        <w:t xml:space="preserve">bühr </w:t>
      </w:r>
      <w:r w:rsidR="00D0654C">
        <w:rPr>
          <w:sz w:val="22"/>
        </w:rPr>
        <w:t xml:space="preserve">von </w:t>
      </w:r>
      <w:r w:rsidR="00FC27B6">
        <w:rPr>
          <w:sz w:val="22"/>
        </w:rPr>
        <w:t>0,57</w:t>
      </w:r>
      <w:r w:rsidR="00E552FC">
        <w:rPr>
          <w:sz w:val="22"/>
        </w:rPr>
        <w:t xml:space="preserve"> EUR/m²</w:t>
      </w:r>
      <w:r w:rsidR="00FC27B6">
        <w:rPr>
          <w:sz w:val="22"/>
        </w:rPr>
        <w:t xml:space="preserve"> (Vorjahr 0,53</w:t>
      </w:r>
      <w:r w:rsidR="00D0654C">
        <w:rPr>
          <w:sz w:val="22"/>
        </w:rPr>
        <w:t xml:space="preserve"> EUR/m²) </w:t>
      </w:r>
      <w:r w:rsidR="000D3D95">
        <w:rPr>
          <w:sz w:val="22"/>
        </w:rPr>
        <w:t xml:space="preserve">weiterhin </w:t>
      </w:r>
      <w:r w:rsidR="00D0654C">
        <w:rPr>
          <w:sz w:val="22"/>
        </w:rPr>
        <w:t>günstig.</w:t>
      </w:r>
    </w:p>
    <w:p w:rsidR="00E41CDF" w:rsidRDefault="00E41CDF">
      <w:pPr>
        <w:pStyle w:val="Textkrper"/>
        <w:rPr>
          <w:sz w:val="22"/>
        </w:rPr>
      </w:pPr>
    </w:p>
    <w:p w:rsidR="00BC6108" w:rsidRDefault="00F63662">
      <w:pPr>
        <w:pStyle w:val="Textkrper"/>
        <w:rPr>
          <w:sz w:val="22"/>
        </w:rPr>
      </w:pPr>
      <w:r w:rsidRPr="00F63662">
        <w:rPr>
          <w:noProof/>
          <w:sz w:val="22"/>
          <w:lang w:eastAsia="de-DE"/>
        </w:rPr>
        <w:drawing>
          <wp:inline distT="0" distB="0" distL="0" distR="0">
            <wp:extent cx="5759450" cy="3518984"/>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C6108" w:rsidRDefault="00BC6108">
      <w:pPr>
        <w:pStyle w:val="Textkrper"/>
        <w:rPr>
          <w:sz w:val="22"/>
        </w:rPr>
      </w:pPr>
    </w:p>
    <w:p w:rsidR="00BB1B5E" w:rsidRDefault="00BB1B5E">
      <w:pPr>
        <w:pStyle w:val="Textkrper"/>
        <w:rPr>
          <w:sz w:val="22"/>
        </w:rPr>
      </w:pPr>
    </w:p>
    <w:p w:rsidR="00BB1B5E" w:rsidRDefault="00BB1B5E">
      <w:pPr>
        <w:pStyle w:val="Textkrper"/>
        <w:rPr>
          <w:sz w:val="22"/>
        </w:rPr>
      </w:pPr>
    </w:p>
    <w:p w:rsidR="006846E8" w:rsidRDefault="006846E8" w:rsidP="00D8010A">
      <w:pPr>
        <w:pStyle w:val="Textkrper"/>
      </w:pPr>
      <w:r w:rsidRPr="007172F6">
        <w:t>Ergebnisentwicklung</w:t>
      </w:r>
    </w:p>
    <w:p w:rsidR="00780CA2" w:rsidRDefault="00780CA2" w:rsidP="00D8010A">
      <w:pPr>
        <w:pStyle w:val="Textkrper"/>
      </w:pPr>
    </w:p>
    <w:p w:rsidR="00D8010A" w:rsidRPr="0019403B" w:rsidRDefault="00780CA2" w:rsidP="00D8010A">
      <w:pPr>
        <w:pStyle w:val="Textkrper"/>
      </w:pPr>
      <w:r>
        <w:rPr>
          <w:noProof/>
          <w:lang w:eastAsia="de-DE"/>
        </w:rPr>
        <w:drawing>
          <wp:inline distT="0" distB="0" distL="0" distR="0">
            <wp:extent cx="6848475" cy="1171575"/>
            <wp:effectExtent l="19050" t="0" r="9525" b="0"/>
            <wp:docPr id="1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8987" t="30705" b="18257"/>
                    <a:stretch>
                      <a:fillRect/>
                    </a:stretch>
                  </pic:blipFill>
                  <pic:spPr bwMode="auto">
                    <a:xfrm>
                      <a:off x="0" y="0"/>
                      <a:ext cx="6848475" cy="1171575"/>
                    </a:xfrm>
                    <a:prstGeom prst="rect">
                      <a:avLst/>
                    </a:prstGeom>
                    <a:noFill/>
                  </pic:spPr>
                </pic:pic>
              </a:graphicData>
            </a:graphic>
          </wp:inline>
        </w:drawing>
      </w:r>
    </w:p>
    <w:p w:rsidR="007464E9" w:rsidRDefault="007464E9" w:rsidP="007464E9">
      <w:pPr>
        <w:pStyle w:val="Textkrper2"/>
      </w:pPr>
      <w:r w:rsidRPr="004928D5">
        <w:t xml:space="preserve">Das </w:t>
      </w:r>
      <w:r w:rsidRPr="00166A3A">
        <w:rPr>
          <w:b/>
          <w:bCs/>
        </w:rPr>
        <w:t>Jahresergebnis</w:t>
      </w:r>
      <w:r w:rsidRPr="004928D5">
        <w:t xml:space="preserve"> </w:t>
      </w:r>
      <w:r w:rsidR="00512960">
        <w:t xml:space="preserve">2012 </w:t>
      </w:r>
      <w:r w:rsidRPr="004928D5">
        <w:t xml:space="preserve">in Höhe von </w:t>
      </w:r>
      <w:r w:rsidR="00F73E43">
        <w:t>6,24</w:t>
      </w:r>
      <w:r w:rsidRPr="003C044E">
        <w:t xml:space="preserve"> Mio</w:t>
      </w:r>
      <w:r w:rsidRPr="004928D5">
        <w:t xml:space="preserve">. EUR </w:t>
      </w:r>
      <w:r>
        <w:t xml:space="preserve">wird nach Beschluss in die </w:t>
      </w:r>
      <w:r w:rsidR="006846E8">
        <w:t>Eigenk</w:t>
      </w:r>
      <w:r w:rsidR="006846E8">
        <w:t>a</w:t>
      </w:r>
      <w:r w:rsidR="006846E8">
        <w:t xml:space="preserve">pitalrücklage </w:t>
      </w:r>
      <w:r w:rsidR="00C72EB2">
        <w:t>eingestellt</w:t>
      </w:r>
      <w:r w:rsidR="006846E8">
        <w:t>.</w:t>
      </w:r>
      <w:r w:rsidR="007A1634">
        <w:t xml:space="preserve"> Insgesamt </w:t>
      </w:r>
      <w:r w:rsidR="00C72EB2">
        <w:t>beläuft sich die allgemeine</w:t>
      </w:r>
      <w:r w:rsidR="00B2151A">
        <w:t xml:space="preserve"> Rückla</w:t>
      </w:r>
      <w:r w:rsidR="007A1634">
        <w:t xml:space="preserve">ge </w:t>
      </w:r>
      <w:r w:rsidR="00C72EB2">
        <w:t xml:space="preserve">auf </w:t>
      </w:r>
      <w:r w:rsidR="0000108D">
        <w:t>41,89</w:t>
      </w:r>
      <w:r w:rsidR="00512960">
        <w:t xml:space="preserve"> Mio. EUR (Vorjahr </w:t>
      </w:r>
      <w:r w:rsidR="008F1353">
        <w:t>37,39</w:t>
      </w:r>
      <w:r w:rsidR="007A1634">
        <w:t xml:space="preserve"> Mio. EUR</w:t>
      </w:r>
      <w:r w:rsidR="00512960">
        <w:t>)</w:t>
      </w:r>
      <w:r w:rsidR="007A1634">
        <w:t xml:space="preserve"> </w:t>
      </w:r>
      <w:r w:rsidR="00C72EB2">
        <w:t>und dient zur</w:t>
      </w:r>
      <w:r w:rsidR="007A1634">
        <w:t xml:space="preserve"> Verbesserung d</w:t>
      </w:r>
      <w:r w:rsidR="00C72EB2">
        <w:t>er betrieblichen Finanzstruktur</w:t>
      </w:r>
      <w:r w:rsidR="007A1634">
        <w:t>.</w:t>
      </w:r>
    </w:p>
    <w:p w:rsidR="008774E2" w:rsidRDefault="008774E2" w:rsidP="007464E9">
      <w:pPr>
        <w:pStyle w:val="Textkrper2"/>
      </w:pPr>
    </w:p>
    <w:p w:rsidR="00BA1941" w:rsidRDefault="007464E9" w:rsidP="007464E9">
      <w:pPr>
        <w:pStyle w:val="Textkrper2"/>
      </w:pPr>
      <w:r w:rsidRPr="00AE06B0">
        <w:t xml:space="preserve">Die </w:t>
      </w:r>
      <w:r w:rsidRPr="00AE06B0">
        <w:rPr>
          <w:b/>
        </w:rPr>
        <w:t>Gesamterträge</w:t>
      </w:r>
      <w:r w:rsidRPr="00AE06B0">
        <w:t xml:space="preserve"> (</w:t>
      </w:r>
      <w:r w:rsidRPr="00AE06B0">
        <w:rPr>
          <w:u w:val="single"/>
        </w:rPr>
        <w:t>vor</w:t>
      </w:r>
      <w:r w:rsidR="00881DAD">
        <w:t xml:space="preserve"> Buchung Kostenüberdeckung</w:t>
      </w:r>
      <w:r w:rsidRPr="00AE06B0">
        <w:t xml:space="preserve">) lagen </w:t>
      </w:r>
      <w:r w:rsidR="00BF5FF1">
        <w:t xml:space="preserve">bei </w:t>
      </w:r>
      <w:r w:rsidR="00335193">
        <w:t>1</w:t>
      </w:r>
      <w:r w:rsidR="0000108D">
        <w:t>14,37</w:t>
      </w:r>
      <w:r w:rsidRPr="00AE06B0">
        <w:t xml:space="preserve"> Mio. EUR (Vorjahr </w:t>
      </w:r>
      <w:r w:rsidR="00F8502C">
        <w:t>112,44</w:t>
      </w:r>
      <w:r w:rsidR="00335193">
        <w:t xml:space="preserve"> Mio. EUR) und veränderten sich im Vergleich zum Vorjahr folgendermaßen:</w:t>
      </w:r>
    </w:p>
    <w:p w:rsidR="00D639E9" w:rsidRDefault="00D639E9" w:rsidP="007464E9">
      <w:pPr>
        <w:pStyle w:val="Textkrper2"/>
      </w:pPr>
    </w:p>
    <w:bookmarkStart w:id="0" w:name="_MON_1174739911"/>
    <w:bookmarkStart w:id="1" w:name="_MON_1174975270"/>
    <w:bookmarkStart w:id="2" w:name="_MON_1174976389"/>
    <w:bookmarkStart w:id="3" w:name="_MON_1174976543"/>
    <w:bookmarkStart w:id="4" w:name="_MON_1174995326"/>
    <w:bookmarkStart w:id="5" w:name="_MON_1175066413"/>
    <w:bookmarkStart w:id="6" w:name="_MON_1175066580"/>
    <w:bookmarkStart w:id="7" w:name="_MON_1201497920"/>
    <w:bookmarkStart w:id="8" w:name="_MON_1201498004"/>
    <w:bookmarkStart w:id="9" w:name="_MON_1201498024"/>
    <w:bookmarkStart w:id="10" w:name="_MON_1205841758"/>
    <w:bookmarkStart w:id="11" w:name="_MON_1205842058"/>
    <w:bookmarkStart w:id="12" w:name="_MON_1207135237"/>
    <w:bookmarkStart w:id="13" w:name="_MON_1237817668"/>
    <w:bookmarkStart w:id="14" w:name="_MON_1238482971"/>
    <w:bookmarkStart w:id="15" w:name="_MON_1238483039"/>
    <w:bookmarkStart w:id="16" w:name="_MON_1239615279"/>
    <w:bookmarkStart w:id="17" w:name="_MON_1241954738"/>
    <w:bookmarkStart w:id="18" w:name="_MON_1269092509"/>
    <w:bookmarkStart w:id="19" w:name="_MON_1269092538"/>
    <w:bookmarkStart w:id="20" w:name="_MON_1269092710"/>
    <w:bookmarkStart w:id="21" w:name="_MON_1269243736"/>
    <w:bookmarkStart w:id="22" w:name="_MON_1271769264"/>
    <w:bookmarkStart w:id="23" w:name="_MON_1274098315"/>
    <w:bookmarkStart w:id="24" w:name="_MON_1274859444"/>
    <w:bookmarkStart w:id="25" w:name="_MON_1302331971"/>
    <w:bookmarkStart w:id="26" w:name="_MON_1302953202"/>
    <w:bookmarkStart w:id="27" w:name="_MON_1302953731"/>
    <w:bookmarkStart w:id="28" w:name="_MON_1304507217"/>
    <w:bookmarkStart w:id="29" w:name="_MON_1304507263"/>
    <w:bookmarkStart w:id="30" w:name="_MON_1304763908"/>
    <w:bookmarkStart w:id="31" w:name="_MON_1304860922"/>
    <w:bookmarkStart w:id="32" w:name="_MON_1307341536"/>
    <w:bookmarkStart w:id="33" w:name="_MON_1334643839"/>
    <w:bookmarkStart w:id="34" w:name="_MON_1334643858"/>
    <w:bookmarkStart w:id="35" w:name="_MON_1335181448"/>
    <w:bookmarkStart w:id="36" w:name="_MON_1367313370"/>
    <w:bookmarkStart w:id="37" w:name="_MON_1399811971"/>
    <w:bookmarkStart w:id="38" w:name="_MON_1108532683"/>
    <w:bookmarkStart w:id="39" w:name="_MON_1108532701"/>
    <w:bookmarkStart w:id="40" w:name="_MON_1108532849"/>
    <w:bookmarkStart w:id="41" w:name="_MON_1108532925"/>
    <w:bookmarkStart w:id="42" w:name="_MON_1108532990"/>
    <w:bookmarkStart w:id="43" w:name="_MON_1108533137"/>
    <w:bookmarkStart w:id="44" w:name="_MON_1108533164"/>
    <w:bookmarkStart w:id="45" w:name="_MON_1108533381"/>
    <w:bookmarkStart w:id="46" w:name="_MON_1108533447"/>
    <w:bookmarkStart w:id="47" w:name="_MON_1109058745"/>
    <w:bookmarkStart w:id="48" w:name="_MON_1109059042"/>
    <w:bookmarkStart w:id="49" w:name="_MON_1109160901"/>
    <w:bookmarkStart w:id="50" w:name="_MON_1110702573"/>
    <w:bookmarkStart w:id="51" w:name="_MON_1110786252"/>
    <w:bookmarkStart w:id="52" w:name="_MON_1110786273"/>
    <w:bookmarkStart w:id="53" w:name="_MON_1110786276"/>
    <w:bookmarkStart w:id="54" w:name="_MON_1111211443"/>
    <w:bookmarkStart w:id="55" w:name="_MON_1139906014"/>
    <w:bookmarkStart w:id="56" w:name="_MON_1141044337"/>
    <w:bookmarkStart w:id="57" w:name="_MON_1142426604"/>
    <w:bookmarkStart w:id="58" w:name="_MON_1142426747"/>
    <w:bookmarkStart w:id="59" w:name="_MON_1142426834"/>
    <w:bookmarkStart w:id="60" w:name="_MON_1144827061"/>
    <w:bookmarkStart w:id="61" w:name="_MON_11741383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Start w:id="62" w:name="_MON_1174196788"/>
    <w:bookmarkEnd w:id="62"/>
    <w:p w:rsidR="00BA1941" w:rsidRDefault="00881DAD" w:rsidP="007464E9">
      <w:pPr>
        <w:pStyle w:val="Textkrper2"/>
      </w:pPr>
      <w:r w:rsidRPr="0037661C">
        <w:rPr>
          <w:sz w:val="24"/>
        </w:rPr>
        <w:object w:dxaOrig="9947" w:dyaOrig="7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354pt" o:ole="" fillcolor="window">
            <v:imagedata r:id="rId9" o:title=""/>
          </v:shape>
          <o:OLEObject Type="Embed" ProgID="Excel.Sheet.8" ShapeID="_x0000_i1025" DrawAspect="Content" ObjectID="_1440832902" r:id="rId10"/>
        </w:object>
      </w:r>
    </w:p>
    <w:p w:rsidR="00D82D5F" w:rsidRDefault="007464E9" w:rsidP="007464E9">
      <w:pPr>
        <w:pStyle w:val="Textkrper2"/>
      </w:pPr>
      <w:r>
        <w:t>Die</w:t>
      </w:r>
      <w:r w:rsidRPr="00AE06B0">
        <w:t xml:space="preserve"> </w:t>
      </w:r>
      <w:r w:rsidRPr="00AE06B0">
        <w:rPr>
          <w:u w:val="single"/>
        </w:rPr>
        <w:t>Umsatzerlöse</w:t>
      </w:r>
      <w:r w:rsidRPr="00AE06B0">
        <w:t xml:space="preserve"> </w:t>
      </w:r>
      <w:r w:rsidR="00C356A3">
        <w:t xml:space="preserve">lagen </w:t>
      </w:r>
      <w:r w:rsidR="00881DAD">
        <w:t>(</w:t>
      </w:r>
      <w:r w:rsidR="00881DAD" w:rsidRPr="00881DAD">
        <w:rPr>
          <w:u w:val="single"/>
        </w:rPr>
        <w:t>vor</w:t>
      </w:r>
      <w:r w:rsidR="00881DAD">
        <w:t xml:space="preserve"> Buchung Kostenüberdeckung) </w:t>
      </w:r>
      <w:r w:rsidR="00C356A3">
        <w:t>bei</w:t>
      </w:r>
      <w:r w:rsidRPr="00AE06B0">
        <w:t xml:space="preserve"> </w:t>
      </w:r>
      <w:r w:rsidR="00881DAD">
        <w:t>111,37</w:t>
      </w:r>
      <w:r w:rsidR="00D0357F">
        <w:t xml:space="preserve"> Mio. EUR (Vorjahr 108,60 Mio. EUR).</w:t>
      </w:r>
    </w:p>
    <w:p w:rsidR="00B042C2" w:rsidRDefault="00BA4080" w:rsidP="007464E9">
      <w:pPr>
        <w:pStyle w:val="Textkrper2"/>
      </w:pPr>
      <w:r>
        <w:t xml:space="preserve">Dabei </w:t>
      </w:r>
      <w:r w:rsidR="00C356A3">
        <w:t>erhöhten sich</w:t>
      </w:r>
      <w:r>
        <w:t xml:space="preserve"> d</w:t>
      </w:r>
      <w:r w:rsidR="00830F2C">
        <w:t xml:space="preserve">ie Umsatzerlöse für </w:t>
      </w:r>
      <w:r w:rsidR="00830F2C" w:rsidRPr="00830F2C">
        <w:rPr>
          <w:u w:val="dotted"/>
        </w:rPr>
        <w:t>Abwasserg</w:t>
      </w:r>
      <w:r w:rsidR="007249DE" w:rsidRPr="007249DE">
        <w:rPr>
          <w:u w:val="dotted"/>
        </w:rPr>
        <w:t xml:space="preserve">ebühren und </w:t>
      </w:r>
      <w:r w:rsidR="00084A31">
        <w:rPr>
          <w:u w:val="dotted"/>
        </w:rPr>
        <w:t>-e</w:t>
      </w:r>
      <w:r w:rsidR="007249DE" w:rsidRPr="007249DE">
        <w:rPr>
          <w:u w:val="dotted"/>
        </w:rPr>
        <w:t>ntgelte</w:t>
      </w:r>
      <w:r w:rsidR="007249DE">
        <w:t xml:space="preserve"> </w:t>
      </w:r>
      <w:r w:rsidR="00C356A3">
        <w:t>auf</w:t>
      </w:r>
      <w:r w:rsidR="00D0357F">
        <w:t xml:space="preserve"> 76,37</w:t>
      </w:r>
      <w:r>
        <w:t xml:space="preserve"> Mio. EUR (Vorjahr</w:t>
      </w:r>
      <w:r w:rsidR="00D0357F">
        <w:t xml:space="preserve"> 73,83</w:t>
      </w:r>
      <w:r w:rsidR="0093319F">
        <w:t xml:space="preserve"> Mio. EUR</w:t>
      </w:r>
      <w:r>
        <w:t>)</w:t>
      </w:r>
      <w:r w:rsidR="00881DAD">
        <w:t xml:space="preserve"> </w:t>
      </w:r>
      <w:r w:rsidR="00017A2F">
        <w:t>t</w:t>
      </w:r>
      <w:r w:rsidR="00C356A3">
        <w:t>rotz leic</w:t>
      </w:r>
      <w:r w:rsidR="00017A2F">
        <w:t>ht rückläufiger Abwassermengen. Dies lag primär an dem angepassten Schmutzwasserentgelt von 1,62 EUR/m³ (Vorjahr 1,52 EUR/m³)</w:t>
      </w:r>
      <w:r w:rsidR="00881DAD">
        <w:t xml:space="preserve"> seit J</w:t>
      </w:r>
      <w:r w:rsidR="00881DAD">
        <w:t>a</w:t>
      </w:r>
      <w:r w:rsidR="00881DAD">
        <w:t>nuar 2012</w:t>
      </w:r>
      <w:r w:rsidR="00017A2F">
        <w:t xml:space="preserve">. Auch die Umsatzerlöse </w:t>
      </w:r>
      <w:r w:rsidR="00654E25">
        <w:t xml:space="preserve">für Niederschlagswasser </w:t>
      </w:r>
      <w:r w:rsidR="00017A2F">
        <w:t xml:space="preserve">stiegen bei konstanter Fläche auf 17,96 Mio. EUR (Vorjahr 16,50 Mio. EUR). Die </w:t>
      </w:r>
      <w:r w:rsidR="00654E25">
        <w:t>Niederschlags</w:t>
      </w:r>
      <w:r w:rsidR="00017A2F">
        <w:t xml:space="preserve">wassergebühr lag bei 0,57 EUR/m² (Vorjahr 0,53 EUR/m²). </w:t>
      </w:r>
      <w:r w:rsidR="00BF2951">
        <w:t>Die</w:t>
      </w:r>
      <w:r w:rsidR="00830F2C">
        <w:t xml:space="preserve"> Abwasser</w:t>
      </w:r>
      <w:r w:rsidR="00BF48FB">
        <w:t>wasser</w:t>
      </w:r>
      <w:r w:rsidR="00017A2F">
        <w:t xml:space="preserve">mengen </w:t>
      </w:r>
      <w:r w:rsidR="000515D6">
        <w:t xml:space="preserve">betrugen </w:t>
      </w:r>
      <w:r w:rsidR="00017A2F">
        <w:t>35,77</w:t>
      </w:r>
      <w:r w:rsidR="00BF48FB">
        <w:t xml:space="preserve"> Mio. m³ </w:t>
      </w:r>
      <w:r w:rsidR="00830F2C">
        <w:t>(Vo</w:t>
      </w:r>
      <w:r w:rsidR="00830F2C">
        <w:t>r</w:t>
      </w:r>
      <w:r w:rsidR="00017A2F">
        <w:t>jahr 36,27</w:t>
      </w:r>
      <w:r w:rsidR="00830F2C">
        <w:t xml:space="preserve"> Mio. m³) </w:t>
      </w:r>
      <w:r w:rsidR="000515D6">
        <w:t>während</w:t>
      </w:r>
      <w:r w:rsidR="00BF48FB">
        <w:t xml:space="preserve"> an das Kanalnetz </w:t>
      </w:r>
      <w:r w:rsidR="000515D6">
        <w:t>31,25 Mio. m² (Vorjahr 31,36 Mio. m²) Priva</w:t>
      </w:r>
      <w:r w:rsidR="000515D6">
        <w:t>t</w:t>
      </w:r>
      <w:r w:rsidR="000515D6">
        <w:t xml:space="preserve">flächen </w:t>
      </w:r>
      <w:r w:rsidR="00BF48FB">
        <w:t>angeschlo</w:t>
      </w:r>
      <w:r w:rsidR="000515D6">
        <w:t>ssenen waren</w:t>
      </w:r>
      <w:r w:rsidR="00830F2C">
        <w:t>.</w:t>
      </w:r>
    </w:p>
    <w:p w:rsidR="00017A2F" w:rsidRDefault="00017A2F" w:rsidP="007464E9">
      <w:pPr>
        <w:pStyle w:val="Textkrper2"/>
      </w:pPr>
    </w:p>
    <w:p w:rsidR="00B042C2" w:rsidRDefault="008C0783" w:rsidP="007464E9">
      <w:pPr>
        <w:pStyle w:val="Textkrper2"/>
      </w:pPr>
      <w:r w:rsidRPr="008C0783">
        <w:rPr>
          <w:noProof/>
          <w:lang w:eastAsia="de-DE"/>
        </w:rPr>
        <w:drawing>
          <wp:inline distT="0" distB="0" distL="0" distR="0">
            <wp:extent cx="5762625" cy="2390775"/>
            <wp:effectExtent l="19050" t="0" r="9525" b="0"/>
            <wp:docPr id="124" name="Bild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 cstate="print"/>
                    <a:srcRect t="9931" b="4110"/>
                    <a:stretch>
                      <a:fillRect/>
                    </a:stretch>
                  </pic:blipFill>
                  <pic:spPr bwMode="auto">
                    <a:xfrm>
                      <a:off x="0" y="0"/>
                      <a:ext cx="5762625" cy="2390775"/>
                    </a:xfrm>
                    <a:prstGeom prst="rect">
                      <a:avLst/>
                    </a:prstGeom>
                    <a:noFill/>
                    <a:ln w="9525">
                      <a:noFill/>
                      <a:miter lim="800000"/>
                      <a:headEnd/>
                      <a:tailEnd/>
                    </a:ln>
                  </pic:spPr>
                </pic:pic>
              </a:graphicData>
            </a:graphic>
          </wp:inline>
        </w:drawing>
      </w:r>
    </w:p>
    <w:p w:rsidR="00B042C2" w:rsidRDefault="00B042C2" w:rsidP="007464E9">
      <w:pPr>
        <w:pStyle w:val="Textkrper2"/>
      </w:pPr>
    </w:p>
    <w:p w:rsidR="00B042C2" w:rsidRDefault="007F729B" w:rsidP="007464E9">
      <w:pPr>
        <w:pStyle w:val="Textkrper2"/>
      </w:pPr>
      <w:r w:rsidRPr="007F729B">
        <w:rPr>
          <w:noProof/>
          <w:lang w:eastAsia="de-DE"/>
        </w:rPr>
        <w:drawing>
          <wp:inline distT="0" distB="0" distL="0" distR="0">
            <wp:extent cx="5553075" cy="2295525"/>
            <wp:effectExtent l="19050" t="0" r="9525" b="0"/>
            <wp:docPr id="126" name="Bild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print"/>
                    <a:srcRect t="5185"/>
                    <a:stretch>
                      <a:fillRect/>
                    </a:stretch>
                  </pic:blipFill>
                  <pic:spPr bwMode="auto">
                    <a:xfrm>
                      <a:off x="0" y="0"/>
                      <a:ext cx="5553075" cy="2295525"/>
                    </a:xfrm>
                    <a:prstGeom prst="rect">
                      <a:avLst/>
                    </a:prstGeom>
                    <a:noFill/>
                    <a:ln w="9525">
                      <a:noFill/>
                      <a:miter lim="800000"/>
                      <a:headEnd/>
                      <a:tailEnd/>
                    </a:ln>
                  </pic:spPr>
                </pic:pic>
              </a:graphicData>
            </a:graphic>
          </wp:inline>
        </w:drawing>
      </w:r>
    </w:p>
    <w:p w:rsidR="00DA1CB2" w:rsidRDefault="00DA1CB2" w:rsidP="007464E9">
      <w:pPr>
        <w:pStyle w:val="Textkrper2"/>
      </w:pPr>
    </w:p>
    <w:p w:rsidR="007249DE" w:rsidRDefault="007249DE" w:rsidP="007464E9">
      <w:pPr>
        <w:pStyle w:val="Textkrper2"/>
      </w:pPr>
      <w:r>
        <w:t xml:space="preserve">Die </w:t>
      </w:r>
      <w:r w:rsidRPr="0093319F">
        <w:rPr>
          <w:u w:val="dotted"/>
        </w:rPr>
        <w:t>Zu</w:t>
      </w:r>
      <w:r w:rsidR="008B729F">
        <w:rPr>
          <w:u w:val="dotted"/>
        </w:rPr>
        <w:t>schüsse und Beiträ</w:t>
      </w:r>
      <w:r w:rsidRPr="0093319F">
        <w:rPr>
          <w:u w:val="dotted"/>
        </w:rPr>
        <w:t>ge</w:t>
      </w:r>
      <w:r>
        <w:t xml:space="preserve"> </w:t>
      </w:r>
      <w:r w:rsidR="00D148A3">
        <w:t>reduzierten sich</w:t>
      </w:r>
      <w:r w:rsidR="000A60DE">
        <w:t xml:space="preserve"> auf 15,15 Mio. EUR (Vorjahr </w:t>
      </w:r>
      <w:r w:rsidR="001074DF">
        <w:t>15,49</w:t>
      </w:r>
      <w:r w:rsidR="0093319F">
        <w:t xml:space="preserve"> Mio. EUR</w:t>
      </w:r>
      <w:r w:rsidR="000A60DE">
        <w:t>)</w:t>
      </w:r>
      <w:r w:rsidR="0093319F">
        <w:t xml:space="preserve"> </w:t>
      </w:r>
      <w:r w:rsidR="000A60DE">
        <w:t>zurück</w:t>
      </w:r>
      <w:r w:rsidR="0016682C">
        <w:t xml:space="preserve"> und d</w:t>
      </w:r>
      <w:r w:rsidR="0093319F">
        <w:t xml:space="preserve">ie </w:t>
      </w:r>
      <w:r w:rsidR="0093319F" w:rsidRPr="0093319F">
        <w:rPr>
          <w:u w:val="dotted"/>
        </w:rPr>
        <w:t>Straßenentwässerungskosten</w:t>
      </w:r>
      <w:r w:rsidR="0093319F">
        <w:t xml:space="preserve"> </w:t>
      </w:r>
      <w:r w:rsidR="00D148A3">
        <w:t>fielen</w:t>
      </w:r>
      <w:r w:rsidR="000A60DE">
        <w:t xml:space="preserve"> in 2012</w:t>
      </w:r>
      <w:r w:rsidR="00D148A3">
        <w:t xml:space="preserve"> </w:t>
      </w:r>
      <w:r w:rsidR="00FB0017">
        <w:t>für die Landeshauptstadt</w:t>
      </w:r>
      <w:r w:rsidR="00D148A3">
        <w:t xml:space="preserve"> Stut</w:t>
      </w:r>
      <w:r w:rsidR="00D148A3">
        <w:t>t</w:t>
      </w:r>
      <w:r w:rsidR="00D148A3">
        <w:t>gart 8,3</w:t>
      </w:r>
      <w:r w:rsidR="00AB125A">
        <w:t>3</w:t>
      </w:r>
      <w:r w:rsidR="000A60DE">
        <w:t xml:space="preserve"> Mio. EUR (Vorjahr </w:t>
      </w:r>
      <w:r w:rsidR="001074DF">
        <w:t>7,97 Mio. EUR</w:t>
      </w:r>
      <w:r w:rsidR="000A60DE">
        <w:t>)</w:t>
      </w:r>
      <w:r w:rsidR="00D148A3">
        <w:t xml:space="preserve"> an</w:t>
      </w:r>
      <w:r w:rsidR="0093319F">
        <w:t xml:space="preserve">. </w:t>
      </w:r>
      <w:r w:rsidR="000A60DE">
        <w:t xml:space="preserve">Die </w:t>
      </w:r>
      <w:r w:rsidR="000A60DE" w:rsidRPr="002C43D7">
        <w:rPr>
          <w:u w:val="dotted"/>
        </w:rPr>
        <w:t>Partnergemeinden</w:t>
      </w:r>
      <w:r w:rsidR="000A60DE" w:rsidRPr="000A60DE">
        <w:t xml:space="preserve"> beteiligten sich an den Betriebskosten</w:t>
      </w:r>
      <w:r w:rsidR="000A60DE">
        <w:t xml:space="preserve"> der Klärwerke in Höhe von 6,65 Mio. EUR (Vorjahr 6,60 Mio. EUR). D</w:t>
      </w:r>
      <w:r w:rsidR="002C43D7">
        <w:t xml:space="preserve">ie </w:t>
      </w:r>
      <w:r w:rsidR="002C43D7" w:rsidRPr="002C43D7">
        <w:rPr>
          <w:u w:val="dotted"/>
        </w:rPr>
        <w:t>sonstigen Erlöse</w:t>
      </w:r>
      <w:r w:rsidR="0016682C">
        <w:t xml:space="preserve"> </w:t>
      </w:r>
      <w:r w:rsidR="000A60DE">
        <w:t>lagen bei 2,98 Mio. EUR (Vorjahr 2,41</w:t>
      </w:r>
      <w:r w:rsidR="002C43D7">
        <w:t xml:space="preserve"> Mio. EUR</w:t>
      </w:r>
      <w:r w:rsidR="000A60DE">
        <w:t>.</w:t>
      </w:r>
    </w:p>
    <w:p w:rsidR="007464E9" w:rsidRPr="0032629D" w:rsidRDefault="007464E9" w:rsidP="007464E9">
      <w:pPr>
        <w:pStyle w:val="Textkrper2"/>
      </w:pPr>
      <w:r w:rsidRPr="0032629D">
        <w:t xml:space="preserve">Die </w:t>
      </w:r>
      <w:r w:rsidRPr="0032629D">
        <w:rPr>
          <w:u w:val="single"/>
        </w:rPr>
        <w:t>aktivierten Eigenleistungen</w:t>
      </w:r>
      <w:r w:rsidRPr="0032629D">
        <w:t xml:space="preserve"> </w:t>
      </w:r>
      <w:r w:rsidR="001074DF">
        <w:t>stiegen</w:t>
      </w:r>
      <w:r>
        <w:t xml:space="preserve"> </w:t>
      </w:r>
      <w:r w:rsidR="00FF73C9">
        <w:t>auf 2,11</w:t>
      </w:r>
      <w:r w:rsidRPr="0032629D">
        <w:t xml:space="preserve"> Mio. EUR (Vorjahr </w:t>
      </w:r>
      <w:r w:rsidR="00FF73C9">
        <w:t>1,85</w:t>
      </w:r>
      <w:r w:rsidR="00F35673">
        <w:t xml:space="preserve"> Mio. EUR) während d</w:t>
      </w:r>
      <w:r w:rsidRPr="0032629D">
        <w:t xml:space="preserve">ie </w:t>
      </w:r>
      <w:r w:rsidRPr="0032629D">
        <w:rPr>
          <w:u w:val="single"/>
        </w:rPr>
        <w:t>sonstigen betrieblichen Erträge</w:t>
      </w:r>
      <w:r>
        <w:t xml:space="preserve"> </w:t>
      </w:r>
      <w:r w:rsidR="00FF73C9">
        <w:t>mit 0,90</w:t>
      </w:r>
      <w:r w:rsidRPr="0032629D">
        <w:t xml:space="preserve"> Mio. EUR</w:t>
      </w:r>
      <w:r w:rsidR="00FF73C9">
        <w:t xml:space="preserve"> </w:t>
      </w:r>
      <w:r w:rsidR="00AB125A">
        <w:t xml:space="preserve">(Vorjahr 2,00 Mio. EUR) </w:t>
      </w:r>
      <w:r w:rsidR="000C1428">
        <w:t xml:space="preserve">die </w:t>
      </w:r>
      <w:r w:rsidR="00FF73C9">
        <w:t>geplante Höhe</w:t>
      </w:r>
      <w:r w:rsidR="00F35673">
        <w:t xml:space="preserve"> erreichten</w:t>
      </w:r>
      <w:r w:rsidRPr="0032629D">
        <w:t>.</w:t>
      </w:r>
    </w:p>
    <w:p w:rsidR="00B042C2" w:rsidRDefault="00B042C2" w:rsidP="007464E9">
      <w:pPr>
        <w:pStyle w:val="Textkrper2"/>
      </w:pPr>
    </w:p>
    <w:p w:rsidR="00DA1CB2" w:rsidRDefault="00DA1CB2" w:rsidP="007464E9">
      <w:pPr>
        <w:pStyle w:val="Textkrper2"/>
      </w:pPr>
    </w:p>
    <w:p w:rsidR="007464E9" w:rsidRDefault="007464E9" w:rsidP="00FF73C9">
      <w:pPr>
        <w:pStyle w:val="Textkrper2"/>
        <w:spacing w:line="360" w:lineRule="auto"/>
      </w:pPr>
      <w:r w:rsidRPr="008D0552">
        <w:t xml:space="preserve">Die </w:t>
      </w:r>
      <w:r w:rsidRPr="008D0552">
        <w:rPr>
          <w:b/>
        </w:rPr>
        <w:t>Gesamtaufwendungen</w:t>
      </w:r>
      <w:r w:rsidR="008D0552" w:rsidRPr="008D0552">
        <w:t xml:space="preserve"> 201</w:t>
      </w:r>
      <w:r w:rsidR="00FF73C9">
        <w:t>2</w:t>
      </w:r>
      <w:r w:rsidR="00A55A4B">
        <w:t xml:space="preserve"> betrugen 107,46</w:t>
      </w:r>
      <w:r w:rsidRPr="008D0552">
        <w:t xml:space="preserve"> Mio. EUR (Vor</w:t>
      </w:r>
      <w:r w:rsidR="00A55A4B">
        <w:t>jahr 105,09</w:t>
      </w:r>
      <w:r w:rsidRPr="008D0552">
        <w:t xml:space="preserve"> Mio. EUR).</w:t>
      </w:r>
      <w:r w:rsidRPr="00FD70D5">
        <w:t xml:space="preserve"> </w:t>
      </w:r>
    </w:p>
    <w:bookmarkStart w:id="63" w:name="_MON_1424249119"/>
    <w:bookmarkEnd w:id="63"/>
    <w:p w:rsidR="00315892" w:rsidRDefault="00972DA2" w:rsidP="00FF73C9">
      <w:pPr>
        <w:pStyle w:val="Textkrper2"/>
        <w:spacing w:line="360" w:lineRule="auto"/>
      </w:pPr>
      <w:r w:rsidRPr="0037661C">
        <w:rPr>
          <w:sz w:val="24"/>
        </w:rPr>
        <w:object w:dxaOrig="9947" w:dyaOrig="6971">
          <v:shape id="_x0000_i1026" type="#_x0000_t75" style="width:476.25pt;height:350.25pt" o:ole="" fillcolor="window">
            <v:imagedata r:id="rId13" o:title=""/>
          </v:shape>
          <o:OLEObject Type="Embed" ProgID="Excel.Sheet.8" ShapeID="_x0000_i1026" DrawAspect="Content" ObjectID="_1440832903" r:id="rId14"/>
        </w:object>
      </w:r>
    </w:p>
    <w:p w:rsidR="00F50C7C" w:rsidRDefault="00685CE4" w:rsidP="00DE34B5">
      <w:pPr>
        <w:pStyle w:val="Textkrper2"/>
      </w:pPr>
      <w:r>
        <w:lastRenderedPageBreak/>
        <w:t>Insgesamt konnten die Gesamtaufwendung</w:t>
      </w:r>
      <w:r w:rsidR="00581B7E">
        <w:t>en in 2012 auf geplantem</w:t>
      </w:r>
      <w:r>
        <w:t xml:space="preserve"> Niveau gehalten we</w:t>
      </w:r>
      <w:r>
        <w:t>r</w:t>
      </w:r>
      <w:r>
        <w:t xml:space="preserve">den. Dabei </w:t>
      </w:r>
      <w:r w:rsidR="008F4624">
        <w:t>blieb</w:t>
      </w:r>
      <w:r w:rsidR="0093488A">
        <w:t xml:space="preserve"> der </w:t>
      </w:r>
      <w:r w:rsidR="0093488A" w:rsidRPr="0093488A">
        <w:rPr>
          <w:u w:val="single"/>
        </w:rPr>
        <w:t>Materialaufwand</w:t>
      </w:r>
      <w:r w:rsidR="0093488A">
        <w:t xml:space="preserve"> (Roh-, Hilfs- und Betriebsstoffe / Bezogene Leistu</w:t>
      </w:r>
      <w:r w:rsidR="0093488A">
        <w:t>n</w:t>
      </w:r>
      <w:r w:rsidR="0093488A">
        <w:t xml:space="preserve">gen) mit 20,19 Mio. EUR deutlich unter </w:t>
      </w:r>
      <w:r>
        <w:t>dem Vorjahreswert</w:t>
      </w:r>
      <w:r w:rsidR="00581B7E">
        <w:t xml:space="preserve"> (Vorjahr 21,83 Mio. EUR). Die</w:t>
      </w:r>
      <w:r w:rsidR="00DB4D44">
        <w:t>s</w:t>
      </w:r>
      <w:r w:rsidR="00581B7E">
        <w:t xml:space="preserve"> </w:t>
      </w:r>
      <w:r w:rsidR="0093488A">
        <w:t>lag primär an den stabilisierten Energiekosten und an den geringeren Instandhaltung</w:t>
      </w:r>
      <w:r w:rsidR="00E2717F">
        <w:t>s</w:t>
      </w:r>
      <w:r w:rsidR="0093488A">
        <w:t xml:space="preserve">kosten </w:t>
      </w:r>
      <w:r w:rsidR="00581B7E">
        <w:t>im Bereich Kanalnetz</w:t>
      </w:r>
      <w:r w:rsidR="0093488A">
        <w:t xml:space="preserve">. </w:t>
      </w:r>
      <w:r>
        <w:t xml:space="preserve">Im Vergleich zum Vorjahr stiegen dabei die </w:t>
      </w:r>
      <w:r w:rsidRPr="00685CE4">
        <w:rPr>
          <w:u w:val="single"/>
        </w:rPr>
        <w:t>Personalkosten</w:t>
      </w:r>
      <w:r>
        <w:t xml:space="preserve"> durch die Tarifanpassung und angestiegene Urlaubs- und Überstundenrückstellungen auf 19,33 Mio. EUR (Vorjahr 18,16 Mio. EUR). </w:t>
      </w:r>
      <w:r w:rsidR="00385F5F">
        <w:t xml:space="preserve">Die betrieblichen Abschreibungen </w:t>
      </w:r>
      <w:r w:rsidR="003847CA">
        <w:t>blieben mit</w:t>
      </w:r>
      <w:r w:rsidR="00385F5F">
        <w:t xml:space="preserve"> </w:t>
      </w:r>
      <w:r w:rsidR="003847CA">
        <w:t xml:space="preserve">34,97 Mio. EUR </w:t>
      </w:r>
      <w:r w:rsidR="00385F5F">
        <w:t>relativ kon</w:t>
      </w:r>
      <w:r w:rsidR="003847CA">
        <w:t xml:space="preserve">stant </w:t>
      </w:r>
      <w:r w:rsidR="00581B7E">
        <w:t>auf Planniveau</w:t>
      </w:r>
      <w:r w:rsidR="00007752">
        <w:t xml:space="preserve"> (Vorjahr 34,64 Mio. EUR). Die größte</w:t>
      </w:r>
      <w:r w:rsidR="00385F5F">
        <w:t xml:space="preserve"> </w:t>
      </w:r>
      <w:r w:rsidR="00007752">
        <w:t>Veränderung</w:t>
      </w:r>
      <w:r w:rsidR="00385F5F">
        <w:t xml:space="preserve"> gab es innerhalb der </w:t>
      </w:r>
      <w:r w:rsidR="00385F5F" w:rsidRPr="00385F5F">
        <w:rPr>
          <w:u w:val="single"/>
        </w:rPr>
        <w:t>sonstigen betrieblichen Aufwendungen</w:t>
      </w:r>
      <w:r w:rsidR="00385F5F">
        <w:t>. Diese stiegen in 2012 auf 11,71 Mio. EUR</w:t>
      </w:r>
      <w:r w:rsidR="000043F1">
        <w:t xml:space="preserve"> (Vorjahr 9,38 Mio. EUR)</w:t>
      </w:r>
      <w:r w:rsidR="00491DA7">
        <w:t>. Hier wirkten sich notwendige</w:t>
      </w:r>
      <w:r w:rsidR="00385F5F">
        <w:t xml:space="preserve"> Anlagenabgänge </w:t>
      </w:r>
      <w:r w:rsidR="000043F1">
        <w:t xml:space="preserve">durch </w:t>
      </w:r>
      <w:proofErr w:type="spellStart"/>
      <w:r w:rsidR="000043F1">
        <w:t>Außerbetriebnahme</w:t>
      </w:r>
      <w:proofErr w:type="spellEnd"/>
      <w:r w:rsidR="00007752">
        <w:t xml:space="preserve"> und buchhalterische Ausbuchung</w:t>
      </w:r>
      <w:r w:rsidR="000043F1">
        <w:t xml:space="preserve"> des</w:t>
      </w:r>
      <w:r w:rsidR="00385F5F">
        <w:t xml:space="preserve"> Provisorium</w:t>
      </w:r>
      <w:r w:rsidR="000043F1">
        <w:t>s</w:t>
      </w:r>
      <w:r w:rsidR="00385F5F">
        <w:t xml:space="preserve"> Blockheizkraftwerk und </w:t>
      </w:r>
      <w:r w:rsidR="000043F1">
        <w:t xml:space="preserve">der alten </w:t>
      </w:r>
      <w:proofErr w:type="spellStart"/>
      <w:r w:rsidR="000043F1">
        <w:t>Faulbehälter</w:t>
      </w:r>
      <w:proofErr w:type="spellEnd"/>
      <w:r w:rsidR="000043F1">
        <w:t xml:space="preserve"> im Hauptklärwerk aus. </w:t>
      </w:r>
      <w:r w:rsidR="00A72C62">
        <w:t>Das</w:t>
      </w:r>
      <w:r w:rsidR="00F50C7C" w:rsidRPr="007464E9">
        <w:t xml:space="preserve"> </w:t>
      </w:r>
      <w:r w:rsidR="00F50C7C" w:rsidRPr="007464E9">
        <w:rPr>
          <w:u w:val="single"/>
        </w:rPr>
        <w:t>Zins</w:t>
      </w:r>
      <w:r w:rsidR="00A72C62">
        <w:rPr>
          <w:u w:val="single"/>
        </w:rPr>
        <w:t>ergebnis</w:t>
      </w:r>
      <w:r w:rsidR="00F50C7C" w:rsidRPr="007464E9">
        <w:t xml:space="preserve"> </w:t>
      </w:r>
      <w:r w:rsidR="00B26597">
        <w:t>lag mit 21,25</w:t>
      </w:r>
      <w:r w:rsidR="00F50C7C">
        <w:t xml:space="preserve"> Mio. EUR </w:t>
      </w:r>
      <w:r w:rsidR="006933CE">
        <w:t xml:space="preserve">nur gering über dem </w:t>
      </w:r>
      <w:r w:rsidR="00F50C7C">
        <w:t>Vorjahr</w:t>
      </w:r>
      <w:r w:rsidR="006933CE">
        <w:t>eswert</w:t>
      </w:r>
      <w:r w:rsidR="00B83B2C">
        <w:t xml:space="preserve"> (Vorjahr 21,07 Mio. EUR)</w:t>
      </w:r>
      <w:r w:rsidR="00F50C7C" w:rsidRPr="007464E9">
        <w:t xml:space="preserve">. </w:t>
      </w:r>
      <w:r w:rsidR="00315892">
        <w:t>Dank des</w:t>
      </w:r>
      <w:r w:rsidR="00F50C7C" w:rsidRPr="007464E9">
        <w:t xml:space="preserve"> </w:t>
      </w:r>
      <w:r w:rsidR="006933CE">
        <w:t xml:space="preserve">weiterhin </w:t>
      </w:r>
      <w:r w:rsidR="00A21DFB">
        <w:t>niedrige</w:t>
      </w:r>
      <w:r w:rsidR="00315892">
        <w:t>n</w:t>
      </w:r>
      <w:r w:rsidR="00A21DFB">
        <w:t xml:space="preserve"> </w:t>
      </w:r>
      <w:r w:rsidR="00F50C7C" w:rsidRPr="007464E9">
        <w:t>Zinsniveau</w:t>
      </w:r>
      <w:r w:rsidR="00315892">
        <w:t>s</w:t>
      </w:r>
      <w:r w:rsidR="00F50C7C" w:rsidRPr="007464E9">
        <w:t xml:space="preserve"> </w:t>
      </w:r>
      <w:r w:rsidR="00832FDC">
        <w:t xml:space="preserve">fiel der Anstieg weniger stark </w:t>
      </w:r>
      <w:r w:rsidR="00315892">
        <w:t xml:space="preserve">aus als </w:t>
      </w:r>
      <w:r w:rsidR="00742975">
        <w:t xml:space="preserve">ursprünglich </w:t>
      </w:r>
      <w:r w:rsidR="00007752">
        <w:t>geplant. In 2012</w:t>
      </w:r>
      <w:r w:rsidR="00F50C7C">
        <w:t xml:space="preserve"> w</w:t>
      </w:r>
      <w:r w:rsidR="00D26A5B">
        <w:t>urden Da</w:t>
      </w:r>
      <w:r w:rsidR="00D26A5B">
        <w:t>r</w:t>
      </w:r>
      <w:r w:rsidR="00D26A5B">
        <w:t xml:space="preserve">lehen von </w:t>
      </w:r>
      <w:r w:rsidR="00742975">
        <w:t xml:space="preserve">insgesamt </w:t>
      </w:r>
      <w:r w:rsidR="006933CE">
        <w:t>32,76</w:t>
      </w:r>
      <w:r w:rsidR="00F50C7C">
        <w:t xml:space="preserve"> Mio. EUR aufgenomme</w:t>
      </w:r>
      <w:r w:rsidR="00D26A5B">
        <w:t>n.</w:t>
      </w:r>
    </w:p>
    <w:p w:rsidR="00BF7A5C" w:rsidRDefault="00BF7A5C" w:rsidP="007464E9">
      <w:pPr>
        <w:pStyle w:val="Textkrper2"/>
      </w:pPr>
    </w:p>
    <w:p w:rsidR="00191A5C" w:rsidRDefault="00B26597" w:rsidP="007464E9">
      <w:pPr>
        <w:pStyle w:val="Textkrper2"/>
      </w:pPr>
      <w:r w:rsidRPr="00B26597">
        <w:rPr>
          <w:noProof/>
          <w:lang w:eastAsia="de-DE"/>
        </w:rPr>
        <w:drawing>
          <wp:inline distT="0" distB="0" distL="0" distR="0">
            <wp:extent cx="5581650" cy="3152775"/>
            <wp:effectExtent l="19050" t="0" r="0" b="0"/>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cstate="print"/>
                    <a:srcRect t="9315"/>
                    <a:stretch>
                      <a:fillRect/>
                    </a:stretch>
                  </pic:blipFill>
                  <pic:spPr bwMode="auto">
                    <a:xfrm>
                      <a:off x="0" y="0"/>
                      <a:ext cx="5581650" cy="3152775"/>
                    </a:xfrm>
                    <a:prstGeom prst="rect">
                      <a:avLst/>
                    </a:prstGeom>
                    <a:noFill/>
                    <a:ln w="9525">
                      <a:noFill/>
                      <a:miter lim="800000"/>
                      <a:headEnd/>
                      <a:tailEnd/>
                    </a:ln>
                  </pic:spPr>
                </pic:pic>
              </a:graphicData>
            </a:graphic>
          </wp:inline>
        </w:drawing>
      </w:r>
    </w:p>
    <w:p w:rsidR="00F92540" w:rsidRDefault="00776F7A" w:rsidP="008E1F8A">
      <w:pPr>
        <w:pStyle w:val="Textkrper2"/>
        <w:rPr>
          <w:shd w:val="clear" w:color="auto" w:fill="FFFFFF" w:themeFill="background1"/>
        </w:rPr>
      </w:pPr>
      <w:r>
        <w:rPr>
          <w:shd w:val="clear" w:color="auto" w:fill="FFFFFF" w:themeFill="background1"/>
        </w:rPr>
        <w:t>Die</w:t>
      </w:r>
      <w:r w:rsidR="008E1F8A" w:rsidRPr="00776F7A">
        <w:rPr>
          <w:b/>
          <w:shd w:val="clear" w:color="auto" w:fill="FFFFFF" w:themeFill="background1"/>
        </w:rPr>
        <w:t xml:space="preserve"> </w:t>
      </w:r>
      <w:r w:rsidR="008E1F8A" w:rsidRPr="00776F7A">
        <w:rPr>
          <w:b/>
          <w:bCs/>
          <w:shd w:val="clear" w:color="auto" w:fill="FFFFFF" w:themeFill="background1"/>
        </w:rPr>
        <w:t>Gebührennachkalkulation 201</w:t>
      </w:r>
      <w:r>
        <w:rPr>
          <w:b/>
          <w:bCs/>
          <w:shd w:val="clear" w:color="auto" w:fill="FFFFFF" w:themeFill="background1"/>
        </w:rPr>
        <w:t xml:space="preserve">2 </w:t>
      </w:r>
      <w:r w:rsidRPr="00776F7A">
        <w:rPr>
          <w:bCs/>
          <w:shd w:val="clear" w:color="auto" w:fill="FFFFFF" w:themeFill="background1"/>
        </w:rPr>
        <w:t>zum Jahresabschluss</w:t>
      </w:r>
      <w:r w:rsidR="008E1F8A" w:rsidRPr="00776F7A">
        <w:rPr>
          <w:shd w:val="clear" w:color="auto" w:fill="FFFFFF" w:themeFill="background1"/>
        </w:rPr>
        <w:t xml:space="preserve"> ergab für den Bereich </w:t>
      </w:r>
      <w:r w:rsidRPr="009078AE">
        <w:rPr>
          <w:u w:val="single"/>
        </w:rPr>
        <w:t>Sch</w:t>
      </w:r>
      <w:r>
        <w:rPr>
          <w:u w:val="single"/>
        </w:rPr>
        <w:t>m</w:t>
      </w:r>
      <w:r w:rsidRPr="009078AE">
        <w:rPr>
          <w:u w:val="single"/>
        </w:rPr>
        <w:t>utzwasser</w:t>
      </w:r>
      <w:r w:rsidR="00AA5682" w:rsidRPr="00AA5682">
        <w:t xml:space="preserve"> </w:t>
      </w:r>
      <w:r w:rsidR="00644138">
        <w:t xml:space="preserve">eine </w:t>
      </w:r>
      <w:r>
        <w:t xml:space="preserve">Kostenüberdeckung in Höhe </w:t>
      </w:r>
      <w:r w:rsidRPr="00644138">
        <w:t xml:space="preserve">von </w:t>
      </w:r>
      <w:r w:rsidR="00644138" w:rsidRPr="00644138">
        <w:t>0,67</w:t>
      </w:r>
      <w:r w:rsidRPr="00644138">
        <w:t xml:space="preserve"> Mio. EU</w:t>
      </w:r>
      <w:r w:rsidR="004D66B3" w:rsidRPr="00644138">
        <w:t>R</w:t>
      </w:r>
      <w:r w:rsidR="004D66B3">
        <w:t>. In den Gebührenka</w:t>
      </w:r>
      <w:r w:rsidR="004D66B3">
        <w:t>l</w:t>
      </w:r>
      <w:r w:rsidR="004D66B3">
        <w:t>kulationen 2014 und folgende ist dieser Betrag entsprechend zu berücksichtigen</w:t>
      </w:r>
      <w:r w:rsidR="00F92540">
        <w:t>. Der B</w:t>
      </w:r>
      <w:r w:rsidR="00F92540">
        <w:t>e</w:t>
      </w:r>
      <w:r w:rsidR="00F92540">
        <w:t xml:space="preserve">reich </w:t>
      </w:r>
      <w:r w:rsidR="008E1F8A" w:rsidRPr="00776F7A">
        <w:rPr>
          <w:u w:val="single"/>
          <w:shd w:val="clear" w:color="auto" w:fill="FFFFFF" w:themeFill="background1"/>
        </w:rPr>
        <w:t>Niederschlagswasser</w:t>
      </w:r>
      <w:r w:rsidR="008E1F8A" w:rsidRPr="00776F7A">
        <w:rPr>
          <w:shd w:val="clear" w:color="auto" w:fill="FFFFFF" w:themeFill="background1"/>
        </w:rPr>
        <w:t xml:space="preserve"> </w:t>
      </w:r>
      <w:r w:rsidR="00F92540">
        <w:rPr>
          <w:shd w:val="clear" w:color="auto" w:fill="FFFFFF" w:themeFill="background1"/>
        </w:rPr>
        <w:t xml:space="preserve">weist eine Kostenunterdeckung in Höhe </w:t>
      </w:r>
      <w:r w:rsidR="00F92540" w:rsidRPr="00902AE7">
        <w:rPr>
          <w:shd w:val="clear" w:color="auto" w:fill="FFFFFF" w:themeFill="background1"/>
        </w:rPr>
        <w:t xml:space="preserve">von </w:t>
      </w:r>
      <w:r w:rsidR="00902AE7" w:rsidRPr="00902AE7">
        <w:rPr>
          <w:shd w:val="clear" w:color="auto" w:fill="FFFFFF" w:themeFill="background1"/>
        </w:rPr>
        <w:t>0,31</w:t>
      </w:r>
      <w:r w:rsidR="00F92540" w:rsidRPr="00902AE7">
        <w:rPr>
          <w:shd w:val="clear" w:color="auto" w:fill="FFFFFF" w:themeFill="background1"/>
        </w:rPr>
        <w:t xml:space="preserve"> Mio. EUR aus</w:t>
      </w:r>
      <w:r w:rsidR="00F92540">
        <w:rPr>
          <w:shd w:val="clear" w:color="auto" w:fill="FFFFFF" w:themeFill="background1"/>
        </w:rPr>
        <w:t>. Auch diese</w:t>
      </w:r>
      <w:r w:rsidR="00902AE7">
        <w:rPr>
          <w:shd w:val="clear" w:color="auto" w:fill="FFFFFF" w:themeFill="background1"/>
        </w:rPr>
        <w:t>r Betrag</w:t>
      </w:r>
      <w:r w:rsidR="00F92540">
        <w:rPr>
          <w:shd w:val="clear" w:color="auto" w:fill="FFFFFF" w:themeFill="background1"/>
        </w:rPr>
        <w:t xml:space="preserve"> wird in den Gebührenkalkulationen 2014 und folgende zu berücksichti</w:t>
      </w:r>
      <w:r w:rsidR="00902AE7">
        <w:rPr>
          <w:shd w:val="clear" w:color="auto" w:fill="FFFFFF" w:themeFill="background1"/>
        </w:rPr>
        <w:t>gt werden</w:t>
      </w:r>
      <w:r w:rsidR="00F92540">
        <w:rPr>
          <w:shd w:val="clear" w:color="auto" w:fill="FFFFFF" w:themeFill="background1"/>
        </w:rPr>
        <w:t>.</w:t>
      </w:r>
    </w:p>
    <w:p w:rsidR="008E1F8A" w:rsidRDefault="008E1F8A" w:rsidP="00DB6F64"/>
    <w:p w:rsidR="008E1F8A" w:rsidRDefault="008E1F8A" w:rsidP="00DB6F64"/>
    <w:p w:rsidR="00A46FDF" w:rsidRPr="00A46FDF" w:rsidRDefault="00DB6F64" w:rsidP="00A46FDF">
      <w:pPr>
        <w:pStyle w:val="berschrift4"/>
        <w:jc w:val="both"/>
        <w:rPr>
          <w:b/>
          <w:caps/>
          <w:u w:val="none"/>
        </w:rPr>
      </w:pPr>
      <w:r w:rsidRPr="00A93851">
        <w:rPr>
          <w:b/>
          <w:caps/>
          <w:u w:val="none"/>
        </w:rPr>
        <w:t>Mitarbeiterzahlen</w:t>
      </w:r>
    </w:p>
    <w:p w:rsidR="00E82279" w:rsidRPr="00846DF8" w:rsidRDefault="00EB3A2F" w:rsidP="00A46FDF">
      <w:pPr>
        <w:pStyle w:val="Textkrper2"/>
      </w:pPr>
      <w:r w:rsidRPr="008907CA">
        <w:t>Zum 31.12.2012</w:t>
      </w:r>
      <w:r w:rsidR="00E82279" w:rsidRPr="008907CA">
        <w:t xml:space="preserve"> waren bei der Stadtentwässerun</w:t>
      </w:r>
      <w:r w:rsidR="00744447" w:rsidRPr="008907CA">
        <w:t xml:space="preserve">g Stuttgart </w:t>
      </w:r>
      <w:r w:rsidR="0054100A">
        <w:t>10 Beamte, 330 Beschäftigte und 27</w:t>
      </w:r>
      <w:r w:rsidR="00FB12D2" w:rsidRPr="008907CA">
        <w:t xml:space="preserve"> Auszubildende </w:t>
      </w:r>
      <w:r w:rsidR="00E82279" w:rsidRPr="008907CA">
        <w:t>beschäf</w:t>
      </w:r>
      <w:r w:rsidR="00DC4CA0" w:rsidRPr="008907CA">
        <w:t>tigt.</w:t>
      </w:r>
      <w:r w:rsidR="00846DF8">
        <w:t xml:space="preserve"> </w:t>
      </w:r>
      <w:r w:rsidR="00126F01" w:rsidRPr="00846DF8">
        <w:t>Insgesamt waren 62</w:t>
      </w:r>
      <w:r w:rsidR="0054100A">
        <w:t xml:space="preserve"> Frauen </w:t>
      </w:r>
      <w:r w:rsidR="00E82279" w:rsidRPr="00846DF8">
        <w:t>bei</w:t>
      </w:r>
      <w:r w:rsidR="008907CA" w:rsidRPr="00846DF8">
        <w:t xml:space="preserve"> der SES tätig. 44</w:t>
      </w:r>
      <w:r w:rsidR="00E82279" w:rsidRPr="00846DF8">
        <w:t xml:space="preserve"> Mita</w:t>
      </w:r>
      <w:r w:rsidR="00E82279" w:rsidRPr="00846DF8">
        <w:t>r</w:t>
      </w:r>
      <w:r w:rsidR="00E82279" w:rsidRPr="00846DF8">
        <w:t>beiterinnen und Mitarbeiter wa</w:t>
      </w:r>
      <w:r w:rsidR="00D86ABF" w:rsidRPr="00846DF8">
        <w:t>ren teilzeitbe</w:t>
      </w:r>
      <w:r w:rsidR="0054100A">
        <w:t>schäftigt</w:t>
      </w:r>
      <w:r w:rsidR="00E82279" w:rsidRPr="00846DF8">
        <w:t>. Die Quote der ausländischen Mitarbe</w:t>
      </w:r>
      <w:r w:rsidR="00E82279" w:rsidRPr="00846DF8">
        <w:t>i</w:t>
      </w:r>
      <w:r w:rsidR="00E82279" w:rsidRPr="00846DF8">
        <w:t>ter lag bei 12</w:t>
      </w:r>
      <w:r w:rsidR="005017F7" w:rsidRPr="00846DF8">
        <w:t xml:space="preserve"> %. Im Be</w:t>
      </w:r>
      <w:r w:rsidR="00126F01" w:rsidRPr="00846DF8">
        <w:t>richtsjahr er</w:t>
      </w:r>
      <w:r w:rsidR="0054100A">
        <w:t>hielten 27</w:t>
      </w:r>
      <w:r w:rsidR="00E82279" w:rsidRPr="00846DF8">
        <w:t xml:space="preserve"> Fachkräfte für Abwassertechnik und Bauzeic</w:t>
      </w:r>
      <w:r w:rsidR="00E82279" w:rsidRPr="00846DF8">
        <w:t>h</w:t>
      </w:r>
      <w:r w:rsidR="00E82279" w:rsidRPr="00846DF8">
        <w:t>ner bei der Stadtentwässerung Stuttgart ihre Ausbildung.</w:t>
      </w:r>
    </w:p>
    <w:p w:rsidR="002F15DE" w:rsidRDefault="002F15DE" w:rsidP="008907CA">
      <w:pPr>
        <w:pStyle w:val="Textkrper"/>
        <w:shd w:val="clear" w:color="auto" w:fill="FFFFFF" w:themeFill="background1"/>
        <w:rPr>
          <w:b w:val="0"/>
          <w:sz w:val="22"/>
          <w:szCs w:val="22"/>
        </w:rPr>
      </w:pPr>
    </w:p>
    <w:p w:rsidR="0054100A" w:rsidRDefault="0054100A" w:rsidP="008907CA">
      <w:pPr>
        <w:pStyle w:val="Textkrper"/>
        <w:shd w:val="clear" w:color="auto" w:fill="FFFFFF" w:themeFill="background1"/>
        <w:rPr>
          <w:b w:val="0"/>
          <w:sz w:val="22"/>
          <w:szCs w:val="22"/>
        </w:rPr>
      </w:pPr>
    </w:p>
    <w:p w:rsidR="0054100A" w:rsidRDefault="0054100A" w:rsidP="008907CA">
      <w:pPr>
        <w:pStyle w:val="Textkrper"/>
        <w:shd w:val="clear" w:color="auto" w:fill="FFFFFF" w:themeFill="background1"/>
        <w:rPr>
          <w:b w:val="0"/>
          <w:sz w:val="22"/>
          <w:szCs w:val="22"/>
        </w:rPr>
      </w:pPr>
    </w:p>
    <w:p w:rsidR="0054100A" w:rsidRDefault="0054100A" w:rsidP="008907CA">
      <w:pPr>
        <w:pStyle w:val="Textkrper"/>
        <w:shd w:val="clear" w:color="auto" w:fill="FFFFFF" w:themeFill="background1"/>
        <w:rPr>
          <w:b w:val="0"/>
          <w:sz w:val="22"/>
          <w:szCs w:val="22"/>
        </w:rPr>
      </w:pPr>
    </w:p>
    <w:p w:rsidR="0054100A" w:rsidRDefault="0054100A" w:rsidP="008907CA">
      <w:pPr>
        <w:pStyle w:val="Textkrper"/>
        <w:shd w:val="clear" w:color="auto" w:fill="FFFFFF" w:themeFill="background1"/>
        <w:rPr>
          <w:b w:val="0"/>
          <w:sz w:val="22"/>
          <w:szCs w:val="22"/>
        </w:rPr>
      </w:pPr>
    </w:p>
    <w:p w:rsidR="00AD4F7C" w:rsidRPr="00E82279" w:rsidRDefault="00AD4F7C" w:rsidP="008907CA">
      <w:pPr>
        <w:pStyle w:val="Textkrper"/>
        <w:shd w:val="clear" w:color="auto" w:fill="FFFFFF" w:themeFill="background1"/>
        <w:rPr>
          <w:b w:val="0"/>
          <w:sz w:val="22"/>
          <w:szCs w:val="22"/>
        </w:rPr>
      </w:pPr>
    </w:p>
    <w:p w:rsidR="00E82279" w:rsidRDefault="00E82279" w:rsidP="00E82279">
      <w:pPr>
        <w:pStyle w:val="berschrift4"/>
        <w:rPr>
          <w:b/>
          <w:caps/>
          <w:u w:val="none"/>
        </w:rPr>
      </w:pPr>
      <w:r w:rsidRPr="004B447E">
        <w:rPr>
          <w:b/>
          <w:caps/>
          <w:u w:val="none"/>
        </w:rPr>
        <w:lastRenderedPageBreak/>
        <w:t>Investitionen</w:t>
      </w:r>
      <w:r w:rsidR="004B447E">
        <w:rPr>
          <w:b/>
          <w:caps/>
          <w:u w:val="none"/>
        </w:rPr>
        <w:t xml:space="preserve"> </w:t>
      </w:r>
    </w:p>
    <w:p w:rsidR="00B83B2C" w:rsidRPr="00B83B2C" w:rsidRDefault="00B83B2C" w:rsidP="00B83B2C">
      <w:pPr>
        <w:spacing w:line="120" w:lineRule="auto"/>
      </w:pPr>
    </w:p>
    <w:p w:rsidR="0001716A" w:rsidRDefault="00B83B2C" w:rsidP="00E82279">
      <w:pPr>
        <w:pStyle w:val="Textkrper"/>
        <w:rPr>
          <w:b w:val="0"/>
          <w:sz w:val="22"/>
        </w:rPr>
      </w:pPr>
      <w:r>
        <w:rPr>
          <w:b w:val="0"/>
          <w:noProof/>
          <w:sz w:val="22"/>
          <w:lang w:eastAsia="de-DE"/>
        </w:rPr>
        <w:drawing>
          <wp:inline distT="0" distB="0" distL="0" distR="0">
            <wp:extent cx="5789613" cy="1000125"/>
            <wp:effectExtent l="19050" t="0" r="1587"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l="9969" t="28742" r="10123" b="17365"/>
                    <a:stretch>
                      <a:fillRect/>
                    </a:stretch>
                  </pic:blipFill>
                  <pic:spPr bwMode="auto">
                    <a:xfrm>
                      <a:off x="0" y="0"/>
                      <a:ext cx="5789613" cy="1000125"/>
                    </a:xfrm>
                    <a:prstGeom prst="rect">
                      <a:avLst/>
                    </a:prstGeom>
                    <a:noFill/>
                  </pic:spPr>
                </pic:pic>
              </a:graphicData>
            </a:graphic>
          </wp:inline>
        </w:drawing>
      </w:r>
    </w:p>
    <w:p w:rsidR="0061443D" w:rsidRDefault="005F54F3" w:rsidP="00E82279">
      <w:pPr>
        <w:pStyle w:val="Textkrper"/>
        <w:rPr>
          <w:b w:val="0"/>
          <w:sz w:val="22"/>
        </w:rPr>
      </w:pPr>
      <w:r>
        <w:rPr>
          <w:b w:val="0"/>
          <w:sz w:val="22"/>
        </w:rPr>
        <w:t xml:space="preserve">In </w:t>
      </w:r>
      <w:r w:rsidR="00A57BA3">
        <w:rPr>
          <w:b w:val="0"/>
          <w:sz w:val="22"/>
        </w:rPr>
        <w:t>2012</w:t>
      </w:r>
      <w:r w:rsidR="00AD4F7C">
        <w:rPr>
          <w:b w:val="0"/>
          <w:sz w:val="22"/>
        </w:rPr>
        <w:t xml:space="preserve"> </w:t>
      </w:r>
      <w:r w:rsidR="00A57BA3" w:rsidRPr="008874EB">
        <w:rPr>
          <w:b w:val="0"/>
          <w:sz w:val="22"/>
          <w:shd w:val="clear" w:color="auto" w:fill="FFFFFF" w:themeFill="background1"/>
        </w:rPr>
        <w:t xml:space="preserve">wurden </w:t>
      </w:r>
      <w:r>
        <w:rPr>
          <w:b w:val="0"/>
          <w:sz w:val="22"/>
          <w:shd w:val="clear" w:color="auto" w:fill="FFFFFF" w:themeFill="background1"/>
        </w:rPr>
        <w:t>insgesamt 40,39</w:t>
      </w:r>
      <w:r w:rsidR="00A57BA3" w:rsidRPr="008874EB">
        <w:rPr>
          <w:b w:val="0"/>
          <w:sz w:val="22"/>
          <w:shd w:val="clear" w:color="auto" w:fill="FFFFFF" w:themeFill="background1"/>
        </w:rPr>
        <w:t xml:space="preserve"> Mio. EUR</w:t>
      </w:r>
      <w:r w:rsidR="00A57BA3" w:rsidRPr="00E82279">
        <w:rPr>
          <w:b w:val="0"/>
          <w:sz w:val="22"/>
        </w:rPr>
        <w:t xml:space="preserve"> </w:t>
      </w:r>
      <w:r w:rsidR="00A57BA3">
        <w:rPr>
          <w:b w:val="0"/>
          <w:sz w:val="22"/>
        </w:rPr>
        <w:t>in die Anlagen der Stadtentwässerung Stuttgart investiert</w:t>
      </w:r>
      <w:r w:rsidR="00691CDF">
        <w:rPr>
          <w:b w:val="0"/>
          <w:sz w:val="22"/>
        </w:rPr>
        <w:t xml:space="preserve"> (Vorjahr 42,59</w:t>
      </w:r>
      <w:r w:rsidR="00691CDF" w:rsidRPr="00E82279">
        <w:rPr>
          <w:b w:val="0"/>
          <w:sz w:val="22"/>
        </w:rPr>
        <w:t xml:space="preserve"> Mio. EUR)</w:t>
      </w:r>
      <w:r w:rsidR="00A57BA3">
        <w:rPr>
          <w:b w:val="0"/>
          <w:sz w:val="22"/>
        </w:rPr>
        <w:t xml:space="preserve">. </w:t>
      </w:r>
      <w:r w:rsidR="0061443D">
        <w:rPr>
          <w:b w:val="0"/>
          <w:sz w:val="22"/>
        </w:rPr>
        <w:t xml:space="preserve">Die Investitionsquote der SES lag </w:t>
      </w:r>
      <w:r w:rsidR="00C6738E">
        <w:rPr>
          <w:b w:val="0"/>
          <w:sz w:val="22"/>
        </w:rPr>
        <w:t>2012</w:t>
      </w:r>
      <w:r>
        <w:rPr>
          <w:b w:val="0"/>
          <w:sz w:val="22"/>
        </w:rPr>
        <w:t xml:space="preserve"> </w:t>
      </w:r>
      <w:r w:rsidR="00691CDF">
        <w:rPr>
          <w:b w:val="0"/>
          <w:sz w:val="22"/>
        </w:rPr>
        <w:t xml:space="preserve">bei </w:t>
      </w:r>
      <w:r w:rsidRPr="005F54F3">
        <w:rPr>
          <w:b w:val="0"/>
          <w:sz w:val="22"/>
          <w:shd w:val="clear" w:color="auto" w:fill="FFFFFF" w:themeFill="background1"/>
        </w:rPr>
        <w:t>5,5</w:t>
      </w:r>
      <w:r w:rsidR="000B3C41" w:rsidRPr="005F54F3">
        <w:rPr>
          <w:b w:val="0"/>
          <w:sz w:val="22"/>
          <w:shd w:val="clear" w:color="auto" w:fill="FFFFFF" w:themeFill="background1"/>
        </w:rPr>
        <w:t>% (</w:t>
      </w:r>
      <w:r w:rsidR="000B3C41">
        <w:rPr>
          <w:b w:val="0"/>
          <w:sz w:val="22"/>
        </w:rPr>
        <w:t>Vo</w:t>
      </w:r>
      <w:r w:rsidR="000B3C41">
        <w:rPr>
          <w:b w:val="0"/>
          <w:sz w:val="22"/>
        </w:rPr>
        <w:t>r</w:t>
      </w:r>
      <w:r w:rsidR="00691CDF">
        <w:rPr>
          <w:b w:val="0"/>
          <w:sz w:val="22"/>
        </w:rPr>
        <w:t>jahr 5,8</w:t>
      </w:r>
      <w:r w:rsidR="0061443D">
        <w:rPr>
          <w:b w:val="0"/>
          <w:sz w:val="22"/>
        </w:rPr>
        <w:t>%).</w:t>
      </w:r>
      <w:r w:rsidR="006E2C57">
        <w:rPr>
          <w:b w:val="0"/>
          <w:sz w:val="22"/>
        </w:rPr>
        <w:t xml:space="preserve"> In 2012 war es Ziel </w:t>
      </w:r>
      <w:r w:rsidR="00C6738E">
        <w:rPr>
          <w:b w:val="0"/>
          <w:sz w:val="22"/>
        </w:rPr>
        <w:t xml:space="preserve">den Finanzierungsfehlbetrag </w:t>
      </w:r>
      <w:r w:rsidR="006E2C57">
        <w:rPr>
          <w:b w:val="0"/>
          <w:sz w:val="22"/>
        </w:rPr>
        <w:t xml:space="preserve">2011 in Höhe von </w:t>
      </w:r>
      <w:r w:rsidR="002A1452">
        <w:rPr>
          <w:b w:val="0"/>
          <w:sz w:val="22"/>
        </w:rPr>
        <w:t xml:space="preserve">1,98 Mio. EUR </w:t>
      </w:r>
      <w:r w:rsidR="006E2C57">
        <w:rPr>
          <w:b w:val="0"/>
          <w:sz w:val="22"/>
        </w:rPr>
        <w:t xml:space="preserve">auszugleichen. </w:t>
      </w:r>
      <w:r w:rsidR="002A1452">
        <w:rPr>
          <w:b w:val="0"/>
          <w:sz w:val="22"/>
        </w:rPr>
        <w:t>Dies wurde erreicht.</w:t>
      </w:r>
      <w:r w:rsidR="006E2C57">
        <w:rPr>
          <w:b w:val="0"/>
          <w:sz w:val="22"/>
        </w:rPr>
        <w:t xml:space="preserve"> </w:t>
      </w:r>
      <w:r w:rsidRPr="005F54F3">
        <w:rPr>
          <w:b w:val="0"/>
          <w:sz w:val="22"/>
        </w:rPr>
        <w:t>1,05</w:t>
      </w:r>
      <w:r w:rsidR="006E2C57" w:rsidRPr="005F54F3">
        <w:rPr>
          <w:b w:val="0"/>
          <w:sz w:val="22"/>
        </w:rPr>
        <w:t xml:space="preserve"> Mio. EUR </w:t>
      </w:r>
      <w:r w:rsidR="002A1452" w:rsidRPr="005F54F3">
        <w:rPr>
          <w:b w:val="0"/>
          <w:sz w:val="22"/>
        </w:rPr>
        <w:t>der</w:t>
      </w:r>
      <w:r w:rsidR="002A1452">
        <w:rPr>
          <w:b w:val="0"/>
          <w:sz w:val="22"/>
        </w:rPr>
        <w:t xml:space="preserve"> Gesamtinvestitionen </w:t>
      </w:r>
      <w:r w:rsidR="006E2C57">
        <w:rPr>
          <w:b w:val="0"/>
          <w:sz w:val="22"/>
        </w:rPr>
        <w:t xml:space="preserve">wurden </w:t>
      </w:r>
      <w:r>
        <w:rPr>
          <w:b w:val="0"/>
          <w:sz w:val="22"/>
        </w:rPr>
        <w:t>in 2012 durch Dritte finanziert (Beteiligungen Dritter an Umbaumaßnahmen).</w:t>
      </w:r>
    </w:p>
    <w:p w:rsidR="00E82279" w:rsidRDefault="00C6738E" w:rsidP="00E82279">
      <w:pPr>
        <w:pStyle w:val="Textkrper"/>
        <w:rPr>
          <w:b w:val="0"/>
          <w:sz w:val="22"/>
        </w:rPr>
      </w:pPr>
      <w:r>
        <w:rPr>
          <w:b w:val="0"/>
          <w:sz w:val="22"/>
        </w:rPr>
        <w:t>I</w:t>
      </w:r>
      <w:r w:rsidR="00A34CD6">
        <w:rPr>
          <w:b w:val="0"/>
          <w:sz w:val="22"/>
        </w:rPr>
        <w:t xml:space="preserve">n das </w:t>
      </w:r>
      <w:r w:rsidR="00A34CD6" w:rsidRPr="00A34CD6">
        <w:rPr>
          <w:b w:val="0"/>
          <w:sz w:val="22"/>
          <w:u w:val="dotted"/>
        </w:rPr>
        <w:t>Stuttgarter Kanalnetz</w:t>
      </w:r>
      <w:r w:rsidR="00A34CD6" w:rsidRPr="00E82279">
        <w:rPr>
          <w:b w:val="0"/>
          <w:sz w:val="22"/>
        </w:rPr>
        <w:t xml:space="preserve"> </w:t>
      </w:r>
      <w:r>
        <w:rPr>
          <w:b w:val="0"/>
          <w:sz w:val="22"/>
        </w:rPr>
        <w:t xml:space="preserve">wurden insgesamt </w:t>
      </w:r>
      <w:r w:rsidR="008874EB" w:rsidRPr="008874EB">
        <w:rPr>
          <w:b w:val="0"/>
          <w:sz w:val="22"/>
        </w:rPr>
        <w:t>20,01</w:t>
      </w:r>
      <w:r w:rsidR="00AD4F7C" w:rsidRPr="008874EB">
        <w:rPr>
          <w:b w:val="0"/>
          <w:sz w:val="22"/>
        </w:rPr>
        <w:t xml:space="preserve"> Mio. EUR (Vor</w:t>
      </w:r>
      <w:r w:rsidR="006E2C57" w:rsidRPr="008874EB">
        <w:rPr>
          <w:b w:val="0"/>
          <w:sz w:val="22"/>
        </w:rPr>
        <w:t>jahr</w:t>
      </w:r>
      <w:r w:rsidR="006E2C57">
        <w:rPr>
          <w:b w:val="0"/>
          <w:sz w:val="22"/>
        </w:rPr>
        <w:t xml:space="preserve"> 21,82</w:t>
      </w:r>
      <w:r w:rsidR="00E82279" w:rsidRPr="00E82279">
        <w:rPr>
          <w:b w:val="0"/>
          <w:sz w:val="22"/>
        </w:rPr>
        <w:t xml:space="preserve"> Mio. EUR) </w:t>
      </w:r>
      <w:r w:rsidR="00A34CD6">
        <w:rPr>
          <w:b w:val="0"/>
          <w:sz w:val="22"/>
        </w:rPr>
        <w:t>für</w:t>
      </w:r>
      <w:r w:rsidR="00E82279" w:rsidRPr="00E82279">
        <w:rPr>
          <w:b w:val="0"/>
          <w:sz w:val="22"/>
        </w:rPr>
        <w:t xml:space="preserve"> Erschließungs-, Sanierungs- und Regenwasserbehand</w:t>
      </w:r>
      <w:r w:rsidR="00A8554F">
        <w:rPr>
          <w:b w:val="0"/>
          <w:sz w:val="22"/>
        </w:rPr>
        <w:t>lungsmaßnahmen</w:t>
      </w:r>
      <w:r>
        <w:rPr>
          <w:b w:val="0"/>
          <w:sz w:val="22"/>
        </w:rPr>
        <w:t xml:space="preserve"> investiert</w:t>
      </w:r>
      <w:r w:rsidR="00E82279" w:rsidRPr="00E82279">
        <w:rPr>
          <w:b w:val="0"/>
          <w:sz w:val="22"/>
        </w:rPr>
        <w:t xml:space="preserve">. </w:t>
      </w:r>
      <w:r w:rsidR="00AD4F7C">
        <w:rPr>
          <w:b w:val="0"/>
          <w:sz w:val="22"/>
        </w:rPr>
        <w:t>Gleic</w:t>
      </w:r>
      <w:r w:rsidR="00AD4F7C">
        <w:rPr>
          <w:b w:val="0"/>
          <w:sz w:val="22"/>
        </w:rPr>
        <w:t>h</w:t>
      </w:r>
      <w:r w:rsidR="00AD4F7C">
        <w:rPr>
          <w:b w:val="0"/>
          <w:sz w:val="22"/>
        </w:rPr>
        <w:t xml:space="preserve">zeitig fielen </w:t>
      </w:r>
      <w:r w:rsidR="00AD4F7C" w:rsidRPr="00E82279">
        <w:rPr>
          <w:b w:val="0"/>
          <w:sz w:val="22"/>
        </w:rPr>
        <w:t xml:space="preserve">in diesem Bereich </w:t>
      </w:r>
      <w:r w:rsidR="00E82279" w:rsidRPr="00E82279">
        <w:rPr>
          <w:b w:val="0"/>
          <w:sz w:val="22"/>
        </w:rPr>
        <w:t>Instandhaltungskosten in Höhe</w:t>
      </w:r>
      <w:r w:rsidR="002A1452">
        <w:rPr>
          <w:b w:val="0"/>
          <w:sz w:val="22"/>
        </w:rPr>
        <w:t xml:space="preserve"> </w:t>
      </w:r>
      <w:r w:rsidR="002A1452" w:rsidRPr="008874EB">
        <w:rPr>
          <w:b w:val="0"/>
          <w:sz w:val="22"/>
        </w:rPr>
        <w:t>von 2,15</w:t>
      </w:r>
      <w:r w:rsidR="00AD4F7C">
        <w:rPr>
          <w:b w:val="0"/>
          <w:sz w:val="22"/>
        </w:rPr>
        <w:t xml:space="preserve"> Mio. EUR (Vor</w:t>
      </w:r>
      <w:r w:rsidR="002A1452">
        <w:rPr>
          <w:b w:val="0"/>
          <w:sz w:val="22"/>
        </w:rPr>
        <w:t>jahr 2,81</w:t>
      </w:r>
      <w:r w:rsidR="00E82279" w:rsidRPr="00E82279">
        <w:rPr>
          <w:b w:val="0"/>
          <w:sz w:val="22"/>
        </w:rPr>
        <w:t xml:space="preserve"> Mio. EUR) an.</w:t>
      </w:r>
    </w:p>
    <w:p w:rsidR="00B77303" w:rsidRDefault="00E82279" w:rsidP="00AE58FD">
      <w:pPr>
        <w:pStyle w:val="Textkrper"/>
        <w:rPr>
          <w:b w:val="0"/>
          <w:sz w:val="22"/>
        </w:rPr>
      </w:pPr>
      <w:r w:rsidRPr="00E82279">
        <w:rPr>
          <w:b w:val="0"/>
          <w:sz w:val="22"/>
        </w:rPr>
        <w:t xml:space="preserve">In die </w:t>
      </w:r>
      <w:r w:rsidR="00C717DC">
        <w:rPr>
          <w:b w:val="0"/>
          <w:sz w:val="22"/>
        </w:rPr>
        <w:t xml:space="preserve">Betriebsanlagen der </w:t>
      </w:r>
      <w:r w:rsidRPr="00A34CD6">
        <w:rPr>
          <w:b w:val="0"/>
          <w:sz w:val="22"/>
          <w:u w:val="dotted"/>
        </w:rPr>
        <w:t xml:space="preserve">Klärwerke </w:t>
      </w:r>
      <w:r w:rsidR="00B77303">
        <w:rPr>
          <w:b w:val="0"/>
          <w:sz w:val="22"/>
        </w:rPr>
        <w:t>wurd</w:t>
      </w:r>
      <w:r w:rsidR="002A1452">
        <w:rPr>
          <w:b w:val="0"/>
          <w:sz w:val="22"/>
        </w:rPr>
        <w:t>en 18,34 Mio. EUR (Vorjahr 19,41</w:t>
      </w:r>
      <w:r w:rsidRPr="00E82279">
        <w:rPr>
          <w:b w:val="0"/>
          <w:sz w:val="22"/>
        </w:rPr>
        <w:t xml:space="preserve"> Mio. EUR) i</w:t>
      </w:r>
      <w:r w:rsidRPr="00E82279">
        <w:rPr>
          <w:b w:val="0"/>
          <w:sz w:val="22"/>
        </w:rPr>
        <w:t>n</w:t>
      </w:r>
      <w:r w:rsidRPr="00E82279">
        <w:rPr>
          <w:b w:val="0"/>
          <w:sz w:val="22"/>
        </w:rPr>
        <w:t xml:space="preserve">vestiert. </w:t>
      </w:r>
      <w:r w:rsidR="00B77303">
        <w:rPr>
          <w:b w:val="0"/>
          <w:sz w:val="22"/>
        </w:rPr>
        <w:t>Gleichzeitig fielen für die Klärwerksanlagen</w:t>
      </w:r>
      <w:r w:rsidR="00B77303" w:rsidRPr="00E82279">
        <w:rPr>
          <w:b w:val="0"/>
          <w:sz w:val="22"/>
        </w:rPr>
        <w:t xml:space="preserve"> Instandhaltungskosten in Höhe</w:t>
      </w:r>
      <w:r w:rsidR="002A1452">
        <w:rPr>
          <w:b w:val="0"/>
          <w:sz w:val="22"/>
        </w:rPr>
        <w:t xml:space="preserve"> von 3,90 Mio. EUR (Vorjahr 4,03</w:t>
      </w:r>
      <w:r w:rsidR="00B77303" w:rsidRPr="00E82279">
        <w:rPr>
          <w:b w:val="0"/>
          <w:sz w:val="22"/>
        </w:rPr>
        <w:t xml:space="preserve"> Mio. EUR) an.</w:t>
      </w:r>
    </w:p>
    <w:p w:rsidR="00AE58FD" w:rsidRDefault="00A431D0" w:rsidP="00AE58FD">
      <w:pPr>
        <w:pStyle w:val="Textkrper"/>
        <w:rPr>
          <w:b w:val="0"/>
          <w:sz w:val="22"/>
        </w:rPr>
      </w:pPr>
      <w:r>
        <w:rPr>
          <w:b w:val="0"/>
          <w:sz w:val="22"/>
        </w:rPr>
        <w:t xml:space="preserve">Die </w:t>
      </w:r>
      <w:r w:rsidR="00903A62">
        <w:rPr>
          <w:b w:val="0"/>
          <w:sz w:val="22"/>
        </w:rPr>
        <w:t xml:space="preserve">vorgegebenen </w:t>
      </w:r>
      <w:r>
        <w:rPr>
          <w:b w:val="0"/>
          <w:sz w:val="22"/>
        </w:rPr>
        <w:t>Zielgrößen für die Investitionen in 2012 wurden eingehalten und zum Ja</w:t>
      </w:r>
      <w:r>
        <w:rPr>
          <w:b w:val="0"/>
          <w:sz w:val="22"/>
        </w:rPr>
        <w:t>h</w:t>
      </w:r>
      <w:r>
        <w:rPr>
          <w:b w:val="0"/>
          <w:sz w:val="22"/>
        </w:rPr>
        <w:t>resende so</w:t>
      </w:r>
      <w:r w:rsidR="00903A62">
        <w:rPr>
          <w:b w:val="0"/>
          <w:sz w:val="22"/>
        </w:rPr>
        <w:t>gar leicht unterschritten.</w:t>
      </w:r>
    </w:p>
    <w:p w:rsidR="00C717DC" w:rsidRDefault="00C717DC">
      <w:pPr>
        <w:pStyle w:val="Textkrper"/>
        <w:rPr>
          <w:b w:val="0"/>
          <w:sz w:val="22"/>
        </w:rPr>
      </w:pPr>
    </w:p>
    <w:p w:rsidR="00C33D76" w:rsidRDefault="00C33D76">
      <w:pPr>
        <w:pStyle w:val="Textkrper"/>
        <w:rPr>
          <w:b w:val="0"/>
          <w:sz w:val="22"/>
        </w:rPr>
      </w:pPr>
    </w:p>
    <w:p w:rsidR="006815E6" w:rsidRDefault="006815E6" w:rsidP="006815E6">
      <w:pPr>
        <w:rPr>
          <w:b/>
        </w:rPr>
      </w:pPr>
      <w:r w:rsidRPr="006D7FD9">
        <w:rPr>
          <w:b/>
        </w:rPr>
        <w:t>FINANZSTRUKTUR</w:t>
      </w:r>
    </w:p>
    <w:p w:rsidR="00EC1B2D" w:rsidRDefault="009A3BAB" w:rsidP="0023744B">
      <w:pPr>
        <w:jc w:val="both"/>
        <w:rPr>
          <w:sz w:val="22"/>
          <w:szCs w:val="22"/>
        </w:rPr>
      </w:pPr>
      <w:r w:rsidRPr="009A3BAB">
        <w:rPr>
          <w:noProof/>
          <w:szCs w:val="22"/>
          <w:lang w:eastAsia="de-DE"/>
        </w:rPr>
        <w:drawing>
          <wp:inline distT="0" distB="0" distL="0" distR="0">
            <wp:extent cx="6177213" cy="1162050"/>
            <wp:effectExtent l="1905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l="9587" t="25974" r="6942" b="12338"/>
                    <a:stretch>
                      <a:fillRect/>
                    </a:stretch>
                  </pic:blipFill>
                  <pic:spPr bwMode="auto">
                    <a:xfrm>
                      <a:off x="0" y="0"/>
                      <a:ext cx="6177213" cy="1162050"/>
                    </a:xfrm>
                    <a:prstGeom prst="rect">
                      <a:avLst/>
                    </a:prstGeom>
                    <a:noFill/>
                    <a:ln w="9525">
                      <a:noFill/>
                      <a:miter lim="800000"/>
                      <a:headEnd/>
                      <a:tailEnd/>
                    </a:ln>
                  </pic:spPr>
                </pic:pic>
              </a:graphicData>
            </a:graphic>
          </wp:inline>
        </w:drawing>
      </w:r>
    </w:p>
    <w:p w:rsidR="0023744B" w:rsidRDefault="0023744B" w:rsidP="0023744B">
      <w:pPr>
        <w:jc w:val="both"/>
        <w:rPr>
          <w:sz w:val="22"/>
          <w:szCs w:val="22"/>
        </w:rPr>
      </w:pPr>
    </w:p>
    <w:p w:rsidR="00D91455" w:rsidRDefault="00D91455" w:rsidP="00C14369">
      <w:pPr>
        <w:shd w:val="clear" w:color="auto" w:fill="FFFFFF" w:themeFill="background1"/>
        <w:jc w:val="both"/>
        <w:rPr>
          <w:sz w:val="22"/>
          <w:szCs w:val="22"/>
        </w:rPr>
      </w:pPr>
      <w:r w:rsidRPr="00C14369">
        <w:rPr>
          <w:sz w:val="22"/>
          <w:szCs w:val="22"/>
        </w:rPr>
        <w:t xml:space="preserve">Das </w:t>
      </w:r>
      <w:r w:rsidRPr="00C14369">
        <w:rPr>
          <w:sz w:val="22"/>
          <w:szCs w:val="22"/>
          <w:u w:val="single"/>
        </w:rPr>
        <w:t>Gesamtvermögen</w:t>
      </w:r>
      <w:r w:rsidRPr="00C14369">
        <w:rPr>
          <w:sz w:val="22"/>
          <w:szCs w:val="22"/>
        </w:rPr>
        <w:t xml:space="preserve"> der SES </w:t>
      </w:r>
      <w:r w:rsidR="007C66E6" w:rsidRPr="00C14369">
        <w:rPr>
          <w:sz w:val="22"/>
          <w:szCs w:val="22"/>
        </w:rPr>
        <w:t xml:space="preserve">stieg </w:t>
      </w:r>
      <w:r w:rsidR="0084101A" w:rsidRPr="00C14369">
        <w:rPr>
          <w:sz w:val="22"/>
          <w:szCs w:val="22"/>
        </w:rPr>
        <w:t xml:space="preserve">in </w:t>
      </w:r>
      <w:r w:rsidR="007C66E6" w:rsidRPr="00C14369">
        <w:rPr>
          <w:sz w:val="22"/>
          <w:szCs w:val="22"/>
        </w:rPr>
        <w:t>2012 auf</w:t>
      </w:r>
      <w:r w:rsidR="00F739C3" w:rsidRPr="00C14369">
        <w:rPr>
          <w:sz w:val="22"/>
          <w:szCs w:val="22"/>
        </w:rPr>
        <w:t xml:space="preserve"> </w:t>
      </w:r>
      <w:r w:rsidR="00C33D76" w:rsidRPr="00C14369">
        <w:rPr>
          <w:sz w:val="22"/>
          <w:szCs w:val="22"/>
        </w:rPr>
        <w:t>7</w:t>
      </w:r>
      <w:r w:rsidR="00C14369" w:rsidRPr="00C14369">
        <w:rPr>
          <w:sz w:val="22"/>
          <w:szCs w:val="22"/>
        </w:rPr>
        <w:t>48,94</w:t>
      </w:r>
      <w:r w:rsidR="007C66E6" w:rsidRPr="00C14369">
        <w:rPr>
          <w:sz w:val="22"/>
          <w:szCs w:val="22"/>
        </w:rPr>
        <w:t xml:space="preserve"> Mio. EUR (Vorjahr 747,57</w:t>
      </w:r>
      <w:r w:rsidR="004A4D3C" w:rsidRPr="00C14369">
        <w:rPr>
          <w:sz w:val="22"/>
          <w:szCs w:val="22"/>
        </w:rPr>
        <w:t xml:space="preserve"> Mio. EUR).</w:t>
      </w:r>
      <w:r w:rsidR="0084101A" w:rsidRPr="00C14369">
        <w:rPr>
          <w:sz w:val="22"/>
          <w:szCs w:val="22"/>
        </w:rPr>
        <w:t xml:space="preserve"> </w:t>
      </w:r>
      <w:r w:rsidR="00C405D2" w:rsidRPr="00C14369">
        <w:rPr>
          <w:sz w:val="22"/>
          <w:szCs w:val="22"/>
        </w:rPr>
        <w:t xml:space="preserve">Dabei erhöhte sich das technische </w:t>
      </w:r>
      <w:r w:rsidR="00C405D2" w:rsidRPr="00C14369">
        <w:rPr>
          <w:sz w:val="22"/>
          <w:szCs w:val="22"/>
          <w:u w:val="dotted"/>
        </w:rPr>
        <w:t>Anlagevermögen Kanalnetz</w:t>
      </w:r>
      <w:r w:rsidR="00C405D2" w:rsidRPr="00C14369">
        <w:rPr>
          <w:sz w:val="22"/>
          <w:szCs w:val="22"/>
        </w:rPr>
        <w:t xml:space="preserve"> </w:t>
      </w:r>
      <w:r w:rsidR="0084101A" w:rsidRPr="00C14369">
        <w:rPr>
          <w:sz w:val="22"/>
          <w:szCs w:val="22"/>
        </w:rPr>
        <w:t>weiter auf 449,21</w:t>
      </w:r>
      <w:r w:rsidR="00C405D2" w:rsidRPr="00C14369">
        <w:rPr>
          <w:sz w:val="22"/>
          <w:szCs w:val="22"/>
        </w:rPr>
        <w:t xml:space="preserve"> Mio. EUR (Vor</w:t>
      </w:r>
      <w:r w:rsidR="0084101A" w:rsidRPr="00C14369">
        <w:rPr>
          <w:sz w:val="22"/>
          <w:szCs w:val="22"/>
        </w:rPr>
        <w:t>jahr 440,94</w:t>
      </w:r>
      <w:r w:rsidR="00C405D2" w:rsidRPr="00C14369">
        <w:rPr>
          <w:sz w:val="22"/>
          <w:szCs w:val="22"/>
        </w:rPr>
        <w:t xml:space="preserve"> Mio. EUR). </w:t>
      </w:r>
      <w:r w:rsidR="0084101A" w:rsidRPr="00C14369">
        <w:rPr>
          <w:sz w:val="22"/>
          <w:szCs w:val="22"/>
        </w:rPr>
        <w:t>Auch d</w:t>
      </w:r>
      <w:r w:rsidR="00C405D2" w:rsidRPr="00C14369">
        <w:rPr>
          <w:sz w:val="22"/>
          <w:szCs w:val="22"/>
        </w:rPr>
        <w:t xml:space="preserve">as technische </w:t>
      </w:r>
      <w:r w:rsidR="00C405D2" w:rsidRPr="00C14369">
        <w:rPr>
          <w:sz w:val="22"/>
          <w:szCs w:val="22"/>
          <w:u w:val="dotted"/>
        </w:rPr>
        <w:t>Anlagevermögen der Klärwerke</w:t>
      </w:r>
      <w:r w:rsidR="00C405D2" w:rsidRPr="00C14369">
        <w:rPr>
          <w:sz w:val="22"/>
          <w:szCs w:val="22"/>
        </w:rPr>
        <w:t xml:space="preserve"> </w:t>
      </w:r>
      <w:r w:rsidR="0084101A" w:rsidRPr="00C14369">
        <w:rPr>
          <w:sz w:val="22"/>
          <w:szCs w:val="22"/>
        </w:rPr>
        <w:t>stieg</w:t>
      </w:r>
      <w:r w:rsidR="00C405D2" w:rsidRPr="00C14369">
        <w:rPr>
          <w:sz w:val="22"/>
          <w:szCs w:val="22"/>
        </w:rPr>
        <w:t xml:space="preserve"> </w:t>
      </w:r>
      <w:r w:rsidR="00C33D76" w:rsidRPr="00C14369">
        <w:rPr>
          <w:sz w:val="22"/>
          <w:szCs w:val="22"/>
        </w:rPr>
        <w:t>auf</w:t>
      </w:r>
      <w:r w:rsidR="0084101A" w:rsidRPr="00C14369">
        <w:rPr>
          <w:sz w:val="22"/>
          <w:szCs w:val="22"/>
        </w:rPr>
        <w:t xml:space="preserve"> 224,17 Mio. EUR (Vorjahr 202,25</w:t>
      </w:r>
      <w:r w:rsidR="00C405D2" w:rsidRPr="00C14369">
        <w:rPr>
          <w:sz w:val="22"/>
          <w:szCs w:val="22"/>
        </w:rPr>
        <w:t xml:space="preserve"> Mio. EUR). Die </w:t>
      </w:r>
      <w:r w:rsidR="00C405D2" w:rsidRPr="00C14369">
        <w:rPr>
          <w:sz w:val="22"/>
          <w:szCs w:val="22"/>
          <w:u w:val="dotted"/>
        </w:rPr>
        <w:t>Anlagen im Bau</w:t>
      </w:r>
      <w:r w:rsidR="00C405D2" w:rsidRPr="00C14369">
        <w:rPr>
          <w:sz w:val="22"/>
          <w:szCs w:val="22"/>
        </w:rPr>
        <w:t xml:space="preserve"> </w:t>
      </w:r>
      <w:r w:rsidR="002277AF" w:rsidRPr="00C14369">
        <w:rPr>
          <w:sz w:val="22"/>
          <w:szCs w:val="22"/>
        </w:rPr>
        <w:t>lagen zum Jahresende bei</w:t>
      </w:r>
      <w:r w:rsidR="0084101A" w:rsidRPr="00C14369">
        <w:rPr>
          <w:sz w:val="22"/>
          <w:szCs w:val="22"/>
        </w:rPr>
        <w:t xml:space="preserve"> 42,36</w:t>
      </w:r>
      <w:r w:rsidR="002277AF" w:rsidRPr="00C14369">
        <w:rPr>
          <w:sz w:val="22"/>
          <w:szCs w:val="22"/>
        </w:rPr>
        <w:t xml:space="preserve"> Mio. EUR</w:t>
      </w:r>
      <w:r w:rsidR="0084101A" w:rsidRPr="00C14369">
        <w:rPr>
          <w:sz w:val="22"/>
          <w:szCs w:val="22"/>
        </w:rPr>
        <w:t xml:space="preserve"> </w:t>
      </w:r>
      <w:r w:rsidR="00C33D76" w:rsidRPr="00C14369">
        <w:rPr>
          <w:sz w:val="22"/>
          <w:szCs w:val="22"/>
        </w:rPr>
        <w:t>(Vorjahr</w:t>
      </w:r>
      <w:r w:rsidR="00C405D2" w:rsidRPr="00C14369">
        <w:rPr>
          <w:sz w:val="22"/>
          <w:szCs w:val="22"/>
        </w:rPr>
        <w:t xml:space="preserve"> 6</w:t>
      </w:r>
      <w:r w:rsidR="0084101A" w:rsidRPr="00C14369">
        <w:rPr>
          <w:sz w:val="22"/>
          <w:szCs w:val="22"/>
        </w:rPr>
        <w:t>9,46</w:t>
      </w:r>
      <w:r w:rsidR="00C405D2" w:rsidRPr="00C14369">
        <w:rPr>
          <w:sz w:val="22"/>
          <w:szCs w:val="22"/>
        </w:rPr>
        <w:t xml:space="preserve"> Mio. EUR</w:t>
      </w:r>
      <w:r w:rsidR="00C33D76" w:rsidRPr="00C14369">
        <w:rPr>
          <w:sz w:val="22"/>
          <w:szCs w:val="22"/>
        </w:rPr>
        <w:t>).</w:t>
      </w:r>
      <w:r w:rsidR="00C14369">
        <w:rPr>
          <w:sz w:val="22"/>
          <w:szCs w:val="22"/>
        </w:rPr>
        <w:t xml:space="preserve"> Das </w:t>
      </w:r>
      <w:r w:rsidR="00C14369" w:rsidRPr="00C14369">
        <w:rPr>
          <w:sz w:val="22"/>
          <w:szCs w:val="22"/>
          <w:u w:val="dotted"/>
        </w:rPr>
        <w:t>Umlaufvermögen</w:t>
      </w:r>
      <w:r w:rsidR="00C14369">
        <w:rPr>
          <w:sz w:val="22"/>
          <w:szCs w:val="22"/>
        </w:rPr>
        <w:t xml:space="preserve"> ging auf 11,70 Mio. EUR (Vorjahr 13,12 Mio. EUR) zurück.</w:t>
      </w:r>
    </w:p>
    <w:p w:rsidR="0084101A" w:rsidRDefault="0084101A" w:rsidP="00C14369">
      <w:pPr>
        <w:shd w:val="clear" w:color="auto" w:fill="FFFFFF" w:themeFill="background1"/>
        <w:jc w:val="both"/>
        <w:rPr>
          <w:sz w:val="22"/>
          <w:szCs w:val="22"/>
        </w:rPr>
      </w:pPr>
    </w:p>
    <w:p w:rsidR="00337A0B" w:rsidRDefault="000A6361" w:rsidP="006815E6">
      <w:pPr>
        <w:jc w:val="both"/>
        <w:rPr>
          <w:sz w:val="22"/>
          <w:szCs w:val="22"/>
        </w:rPr>
      </w:pPr>
      <w:r>
        <w:rPr>
          <w:noProof/>
          <w:sz w:val="22"/>
          <w:szCs w:val="22"/>
          <w:lang w:eastAsia="de-DE"/>
        </w:rPr>
        <w:drawing>
          <wp:inline distT="0" distB="0" distL="0" distR="0">
            <wp:extent cx="6127173" cy="1104900"/>
            <wp:effectExtent l="19050" t="0" r="6927"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l="10413" t="30323" r="8926" b="12903"/>
                    <a:stretch>
                      <a:fillRect/>
                    </a:stretch>
                  </pic:blipFill>
                  <pic:spPr bwMode="auto">
                    <a:xfrm>
                      <a:off x="0" y="0"/>
                      <a:ext cx="6128935" cy="1105218"/>
                    </a:xfrm>
                    <a:prstGeom prst="rect">
                      <a:avLst/>
                    </a:prstGeom>
                    <a:noFill/>
                  </pic:spPr>
                </pic:pic>
              </a:graphicData>
            </a:graphic>
          </wp:inline>
        </w:drawing>
      </w:r>
    </w:p>
    <w:p w:rsidR="0023744B" w:rsidRPr="008373C9" w:rsidRDefault="0023744B" w:rsidP="006815E6">
      <w:pPr>
        <w:jc w:val="both"/>
        <w:rPr>
          <w:sz w:val="22"/>
          <w:szCs w:val="22"/>
        </w:rPr>
      </w:pPr>
    </w:p>
    <w:p w:rsidR="00337A0B" w:rsidRDefault="00A56F94" w:rsidP="007103AF">
      <w:pPr>
        <w:shd w:val="clear" w:color="auto" w:fill="FFFFFF" w:themeFill="background1"/>
        <w:jc w:val="both"/>
        <w:rPr>
          <w:sz w:val="22"/>
          <w:szCs w:val="22"/>
        </w:rPr>
      </w:pPr>
      <w:r>
        <w:rPr>
          <w:sz w:val="22"/>
          <w:szCs w:val="22"/>
        </w:rPr>
        <w:t xml:space="preserve">Das </w:t>
      </w:r>
      <w:r w:rsidRPr="00ED0583">
        <w:rPr>
          <w:sz w:val="22"/>
          <w:szCs w:val="22"/>
          <w:u w:val="single"/>
        </w:rPr>
        <w:t>Gesamtkapital</w:t>
      </w:r>
      <w:r w:rsidR="007103AF">
        <w:rPr>
          <w:sz w:val="22"/>
          <w:szCs w:val="22"/>
        </w:rPr>
        <w:t xml:space="preserve"> der SES lag 2012</w:t>
      </w:r>
      <w:r w:rsidR="00A631EF">
        <w:rPr>
          <w:sz w:val="22"/>
          <w:szCs w:val="22"/>
        </w:rPr>
        <w:t xml:space="preserve"> bei </w:t>
      </w:r>
      <w:r w:rsidR="007103AF">
        <w:rPr>
          <w:sz w:val="22"/>
          <w:szCs w:val="22"/>
        </w:rPr>
        <w:t>748,94 Mio. EUR (Vorjahr 747,57</w:t>
      </w:r>
      <w:r w:rsidR="004A4D3C">
        <w:rPr>
          <w:sz w:val="22"/>
          <w:szCs w:val="22"/>
        </w:rPr>
        <w:t xml:space="preserve"> </w:t>
      </w:r>
      <w:r>
        <w:rPr>
          <w:sz w:val="22"/>
          <w:szCs w:val="22"/>
        </w:rPr>
        <w:t>Mio. EUR)</w:t>
      </w:r>
      <w:r w:rsidR="00ED0583">
        <w:rPr>
          <w:sz w:val="22"/>
          <w:szCs w:val="22"/>
        </w:rPr>
        <w:t>.</w:t>
      </w:r>
    </w:p>
    <w:p w:rsidR="006815E6" w:rsidRDefault="00ED0583" w:rsidP="007103AF">
      <w:pPr>
        <w:shd w:val="clear" w:color="auto" w:fill="FFFFFF" w:themeFill="background1"/>
        <w:jc w:val="both"/>
        <w:rPr>
          <w:sz w:val="22"/>
          <w:szCs w:val="22"/>
        </w:rPr>
      </w:pPr>
      <w:r>
        <w:rPr>
          <w:sz w:val="22"/>
          <w:szCs w:val="22"/>
        </w:rPr>
        <w:t>D</w:t>
      </w:r>
      <w:r w:rsidRPr="009B2EE5">
        <w:rPr>
          <w:sz w:val="22"/>
          <w:szCs w:val="22"/>
        </w:rPr>
        <w:t xml:space="preserve">ie </w:t>
      </w:r>
      <w:r w:rsidRPr="00ED0583">
        <w:rPr>
          <w:sz w:val="22"/>
          <w:szCs w:val="22"/>
          <w:u w:val="dotted"/>
        </w:rPr>
        <w:t>Verbindlichkeiten</w:t>
      </w:r>
      <w:r w:rsidRPr="009B2EE5">
        <w:rPr>
          <w:sz w:val="22"/>
          <w:szCs w:val="22"/>
        </w:rPr>
        <w:t xml:space="preserve"> </w:t>
      </w:r>
      <w:r>
        <w:rPr>
          <w:sz w:val="22"/>
          <w:szCs w:val="22"/>
        </w:rPr>
        <w:t xml:space="preserve">stiegen </w:t>
      </w:r>
      <w:r w:rsidR="00262C5B">
        <w:rPr>
          <w:sz w:val="22"/>
          <w:szCs w:val="22"/>
        </w:rPr>
        <w:t xml:space="preserve">dabei </w:t>
      </w:r>
      <w:r>
        <w:rPr>
          <w:sz w:val="22"/>
          <w:szCs w:val="22"/>
        </w:rPr>
        <w:t xml:space="preserve">auf </w:t>
      </w:r>
      <w:r w:rsidR="007103AF">
        <w:rPr>
          <w:sz w:val="22"/>
          <w:szCs w:val="22"/>
        </w:rPr>
        <w:t>481,81</w:t>
      </w:r>
      <w:r w:rsidR="00B13F83">
        <w:rPr>
          <w:sz w:val="22"/>
          <w:szCs w:val="22"/>
        </w:rPr>
        <w:t xml:space="preserve"> Mio.</w:t>
      </w:r>
      <w:r w:rsidR="007103AF">
        <w:rPr>
          <w:sz w:val="22"/>
          <w:szCs w:val="22"/>
        </w:rPr>
        <w:t xml:space="preserve"> EUR (Vorjahr 476,08</w:t>
      </w:r>
      <w:r>
        <w:rPr>
          <w:sz w:val="22"/>
          <w:szCs w:val="22"/>
        </w:rPr>
        <w:t xml:space="preserve"> Mio. EUR)</w:t>
      </w:r>
      <w:r w:rsidRPr="009B2EE5">
        <w:rPr>
          <w:sz w:val="22"/>
          <w:szCs w:val="22"/>
        </w:rPr>
        <w:t>. Insg</w:t>
      </w:r>
      <w:r w:rsidRPr="009B2EE5">
        <w:rPr>
          <w:sz w:val="22"/>
          <w:szCs w:val="22"/>
        </w:rPr>
        <w:t>e</w:t>
      </w:r>
      <w:r w:rsidRPr="009B2EE5">
        <w:rPr>
          <w:sz w:val="22"/>
          <w:szCs w:val="22"/>
        </w:rPr>
        <w:t>samt wur</w:t>
      </w:r>
      <w:r w:rsidR="007103AF">
        <w:rPr>
          <w:sz w:val="22"/>
          <w:szCs w:val="22"/>
        </w:rPr>
        <w:t>den 2012</w:t>
      </w:r>
      <w:r w:rsidRPr="009B2EE5">
        <w:rPr>
          <w:sz w:val="22"/>
          <w:szCs w:val="22"/>
        </w:rPr>
        <w:t xml:space="preserve"> Darlehen in Höhe vo</w:t>
      </w:r>
      <w:r w:rsidR="00365934">
        <w:rPr>
          <w:sz w:val="22"/>
          <w:szCs w:val="22"/>
        </w:rPr>
        <w:t xml:space="preserve">n </w:t>
      </w:r>
      <w:r w:rsidR="00B13F83">
        <w:rPr>
          <w:sz w:val="22"/>
          <w:szCs w:val="22"/>
        </w:rPr>
        <w:t>3</w:t>
      </w:r>
      <w:r w:rsidR="007103AF">
        <w:rPr>
          <w:sz w:val="22"/>
          <w:szCs w:val="22"/>
        </w:rPr>
        <w:t>2,76 Mio. EUR (Vorjahr 34,18</w:t>
      </w:r>
      <w:r w:rsidRPr="009B2EE5">
        <w:rPr>
          <w:sz w:val="22"/>
          <w:szCs w:val="22"/>
        </w:rPr>
        <w:t xml:space="preserve"> Mio. EUR) aufg</w:t>
      </w:r>
      <w:r w:rsidRPr="009B2EE5">
        <w:rPr>
          <w:sz w:val="22"/>
          <w:szCs w:val="22"/>
        </w:rPr>
        <w:t>e</w:t>
      </w:r>
      <w:r w:rsidRPr="009B2EE5">
        <w:rPr>
          <w:sz w:val="22"/>
          <w:szCs w:val="22"/>
        </w:rPr>
        <w:t>nommen. Ge</w:t>
      </w:r>
      <w:r w:rsidR="007103AF">
        <w:rPr>
          <w:sz w:val="22"/>
          <w:szCs w:val="22"/>
        </w:rPr>
        <w:t xml:space="preserve">tilgt wurden </w:t>
      </w:r>
      <w:r w:rsidRPr="009B2EE5">
        <w:rPr>
          <w:sz w:val="22"/>
          <w:szCs w:val="22"/>
        </w:rPr>
        <w:t>2</w:t>
      </w:r>
      <w:r w:rsidR="007103AF">
        <w:rPr>
          <w:sz w:val="22"/>
          <w:szCs w:val="22"/>
        </w:rPr>
        <w:t>1,36</w:t>
      </w:r>
      <w:r w:rsidRPr="009B2EE5">
        <w:rPr>
          <w:sz w:val="22"/>
          <w:szCs w:val="22"/>
        </w:rPr>
        <w:t xml:space="preserve"> Mio. EUR (Vor</w:t>
      </w:r>
      <w:r w:rsidR="007103AF">
        <w:rPr>
          <w:sz w:val="22"/>
          <w:szCs w:val="22"/>
        </w:rPr>
        <w:t>jahr 21,62</w:t>
      </w:r>
      <w:r w:rsidRPr="009B2EE5">
        <w:rPr>
          <w:sz w:val="22"/>
          <w:szCs w:val="22"/>
        </w:rPr>
        <w:t xml:space="preserve"> Mio. EUR).</w:t>
      </w:r>
      <w:r w:rsidR="00617A67">
        <w:rPr>
          <w:sz w:val="22"/>
          <w:szCs w:val="22"/>
        </w:rPr>
        <w:t xml:space="preserve"> </w:t>
      </w:r>
      <w:r w:rsidR="00617A67" w:rsidRPr="009B2EE5">
        <w:rPr>
          <w:sz w:val="22"/>
          <w:szCs w:val="22"/>
        </w:rPr>
        <w:t xml:space="preserve">Das </w:t>
      </w:r>
      <w:r w:rsidR="00617A67" w:rsidRPr="00617A67">
        <w:rPr>
          <w:sz w:val="22"/>
          <w:szCs w:val="22"/>
          <w:u w:val="dotted"/>
        </w:rPr>
        <w:t>Abzugskapital</w:t>
      </w:r>
      <w:r w:rsidR="00617A67">
        <w:rPr>
          <w:sz w:val="22"/>
          <w:szCs w:val="22"/>
        </w:rPr>
        <w:t xml:space="preserve"> der SES </w:t>
      </w:r>
      <w:r w:rsidR="007103AF">
        <w:rPr>
          <w:sz w:val="22"/>
          <w:szCs w:val="22"/>
        </w:rPr>
        <w:t>ging weiter auf 205,75 Mio. EUR (Vorjahr 214,87</w:t>
      </w:r>
      <w:r w:rsidR="00617A67" w:rsidRPr="009B2EE5">
        <w:rPr>
          <w:sz w:val="22"/>
          <w:szCs w:val="22"/>
        </w:rPr>
        <w:t xml:space="preserve"> Mio. EUR)</w:t>
      </w:r>
      <w:r w:rsidR="007103AF">
        <w:rPr>
          <w:sz w:val="22"/>
          <w:szCs w:val="22"/>
        </w:rPr>
        <w:t xml:space="preserve"> zurück</w:t>
      </w:r>
      <w:r w:rsidR="00617A67" w:rsidRPr="009B2EE5">
        <w:rPr>
          <w:sz w:val="22"/>
          <w:szCs w:val="22"/>
        </w:rPr>
        <w:t>. An Landesz</w:t>
      </w:r>
      <w:r w:rsidR="00617A67" w:rsidRPr="009B2EE5">
        <w:rPr>
          <w:sz w:val="22"/>
          <w:szCs w:val="22"/>
        </w:rPr>
        <w:t>u</w:t>
      </w:r>
      <w:r w:rsidR="00617A67" w:rsidRPr="009B2EE5">
        <w:rPr>
          <w:sz w:val="22"/>
          <w:szCs w:val="22"/>
        </w:rPr>
        <w:t>schüssen und empfangenen Er</w:t>
      </w:r>
      <w:r w:rsidR="00B54625">
        <w:rPr>
          <w:sz w:val="22"/>
          <w:szCs w:val="22"/>
        </w:rPr>
        <w:t>tragszuschüssen ginge</w:t>
      </w:r>
      <w:r w:rsidR="00FB7E3A">
        <w:rPr>
          <w:sz w:val="22"/>
          <w:szCs w:val="22"/>
        </w:rPr>
        <w:t>n 6,04 Mio. EUR zu (Vorjahr 6,04</w:t>
      </w:r>
      <w:r w:rsidR="00617A67" w:rsidRPr="009B2EE5">
        <w:rPr>
          <w:sz w:val="22"/>
          <w:szCs w:val="22"/>
        </w:rPr>
        <w:t xml:space="preserve"> Mio. EUR). 15,</w:t>
      </w:r>
      <w:r w:rsidR="00FB7E3A">
        <w:rPr>
          <w:sz w:val="22"/>
          <w:szCs w:val="22"/>
        </w:rPr>
        <w:t>15</w:t>
      </w:r>
      <w:r w:rsidR="00617A67" w:rsidRPr="009B2EE5">
        <w:rPr>
          <w:sz w:val="22"/>
          <w:szCs w:val="22"/>
        </w:rPr>
        <w:t xml:space="preserve"> Mio. EUR (Vor</w:t>
      </w:r>
      <w:r w:rsidR="00FB7E3A">
        <w:rPr>
          <w:sz w:val="22"/>
          <w:szCs w:val="22"/>
        </w:rPr>
        <w:t>jahr 15,49</w:t>
      </w:r>
      <w:r w:rsidR="00617A67" w:rsidRPr="009B2EE5">
        <w:rPr>
          <w:sz w:val="22"/>
          <w:szCs w:val="22"/>
        </w:rPr>
        <w:t xml:space="preserve"> Mio. EUR) wurden gleichzeitig aufgelöst.</w:t>
      </w:r>
      <w:r w:rsidR="00617A67" w:rsidRPr="00617A67">
        <w:rPr>
          <w:sz w:val="22"/>
          <w:szCs w:val="22"/>
        </w:rPr>
        <w:t xml:space="preserve"> </w:t>
      </w:r>
      <w:r w:rsidR="00617A67" w:rsidRPr="009B2EE5">
        <w:rPr>
          <w:sz w:val="22"/>
          <w:szCs w:val="22"/>
        </w:rPr>
        <w:t xml:space="preserve">Die </w:t>
      </w:r>
      <w:r w:rsidR="00617A67" w:rsidRPr="00617A67">
        <w:rPr>
          <w:sz w:val="22"/>
          <w:szCs w:val="22"/>
          <w:u w:val="dotted"/>
        </w:rPr>
        <w:t>Eigenk</w:t>
      </w:r>
      <w:r w:rsidR="00617A67" w:rsidRPr="00617A67">
        <w:rPr>
          <w:sz w:val="22"/>
          <w:szCs w:val="22"/>
          <w:u w:val="dotted"/>
        </w:rPr>
        <w:t>a</w:t>
      </w:r>
      <w:r w:rsidR="00617A67" w:rsidRPr="00617A67">
        <w:rPr>
          <w:sz w:val="22"/>
          <w:szCs w:val="22"/>
          <w:u w:val="dotted"/>
        </w:rPr>
        <w:t>pitalrücklage</w:t>
      </w:r>
      <w:r w:rsidR="00617A67" w:rsidRPr="00FB7E3A">
        <w:rPr>
          <w:sz w:val="22"/>
          <w:szCs w:val="22"/>
        </w:rPr>
        <w:t xml:space="preserve"> </w:t>
      </w:r>
      <w:r w:rsidR="00FB7E3A">
        <w:rPr>
          <w:sz w:val="22"/>
          <w:szCs w:val="22"/>
        </w:rPr>
        <w:t xml:space="preserve">stieg </w:t>
      </w:r>
      <w:r w:rsidR="00617A67" w:rsidRPr="009B2EE5">
        <w:rPr>
          <w:sz w:val="22"/>
          <w:szCs w:val="22"/>
        </w:rPr>
        <w:t>a</w:t>
      </w:r>
      <w:r w:rsidR="00FB7E3A">
        <w:rPr>
          <w:sz w:val="22"/>
          <w:szCs w:val="22"/>
        </w:rPr>
        <w:t>uf 41,89</w:t>
      </w:r>
      <w:r w:rsidR="007B7C88">
        <w:rPr>
          <w:sz w:val="22"/>
          <w:szCs w:val="22"/>
        </w:rPr>
        <w:t xml:space="preserve"> Mio. EUR</w:t>
      </w:r>
      <w:r w:rsidR="00FB7E3A">
        <w:rPr>
          <w:sz w:val="22"/>
          <w:szCs w:val="22"/>
        </w:rPr>
        <w:t xml:space="preserve"> (Vorjahr 37,39 Mio. EUR)</w:t>
      </w:r>
      <w:r w:rsidR="00617A67" w:rsidRPr="009B2EE5">
        <w:rPr>
          <w:sz w:val="22"/>
          <w:szCs w:val="22"/>
        </w:rPr>
        <w:t>.</w:t>
      </w:r>
      <w:r w:rsidR="00617A67">
        <w:rPr>
          <w:sz w:val="22"/>
          <w:szCs w:val="22"/>
        </w:rPr>
        <w:t xml:space="preserve"> </w:t>
      </w:r>
      <w:r w:rsidR="00617A67" w:rsidRPr="009B2EE5">
        <w:rPr>
          <w:sz w:val="22"/>
          <w:szCs w:val="22"/>
        </w:rPr>
        <w:t xml:space="preserve">Der Jahresgewinn </w:t>
      </w:r>
      <w:r w:rsidR="00720CFB">
        <w:rPr>
          <w:sz w:val="22"/>
          <w:szCs w:val="22"/>
        </w:rPr>
        <w:t>2012</w:t>
      </w:r>
      <w:r w:rsidR="00617A67">
        <w:rPr>
          <w:sz w:val="22"/>
          <w:szCs w:val="22"/>
        </w:rPr>
        <w:t xml:space="preserve"> in </w:t>
      </w:r>
      <w:r w:rsidR="00617A67">
        <w:rPr>
          <w:sz w:val="22"/>
          <w:szCs w:val="22"/>
        </w:rPr>
        <w:lastRenderedPageBreak/>
        <w:t xml:space="preserve">Höhe von </w:t>
      </w:r>
      <w:r w:rsidR="00720CFB">
        <w:rPr>
          <w:sz w:val="22"/>
          <w:szCs w:val="22"/>
        </w:rPr>
        <w:t>6,24</w:t>
      </w:r>
      <w:r w:rsidR="0016532A">
        <w:rPr>
          <w:sz w:val="22"/>
          <w:szCs w:val="22"/>
        </w:rPr>
        <w:t xml:space="preserve"> </w:t>
      </w:r>
      <w:r w:rsidR="00617A67">
        <w:rPr>
          <w:sz w:val="22"/>
          <w:szCs w:val="22"/>
        </w:rPr>
        <w:t xml:space="preserve">Mio. EUR </w:t>
      </w:r>
      <w:r w:rsidR="00B85080">
        <w:rPr>
          <w:sz w:val="22"/>
          <w:szCs w:val="22"/>
        </w:rPr>
        <w:t>soll</w:t>
      </w:r>
      <w:r w:rsidR="00617A67" w:rsidRPr="009B2EE5">
        <w:rPr>
          <w:sz w:val="22"/>
          <w:szCs w:val="22"/>
        </w:rPr>
        <w:t xml:space="preserve"> nach Beschluss </w:t>
      </w:r>
      <w:r w:rsidR="00617A67">
        <w:rPr>
          <w:sz w:val="22"/>
          <w:szCs w:val="22"/>
        </w:rPr>
        <w:t xml:space="preserve">des Gemeinderats </w:t>
      </w:r>
      <w:r w:rsidR="00617A67" w:rsidRPr="009B2EE5">
        <w:rPr>
          <w:sz w:val="22"/>
          <w:szCs w:val="22"/>
        </w:rPr>
        <w:t>in die Eigenkapitalrückla</w:t>
      </w:r>
      <w:r w:rsidR="00617A67">
        <w:rPr>
          <w:sz w:val="22"/>
          <w:szCs w:val="22"/>
        </w:rPr>
        <w:t>ge eingestellt</w:t>
      </w:r>
      <w:r w:rsidR="00B85080">
        <w:rPr>
          <w:sz w:val="22"/>
          <w:szCs w:val="22"/>
        </w:rPr>
        <w:t xml:space="preserve"> werden</w:t>
      </w:r>
      <w:r w:rsidR="00617A67">
        <w:rPr>
          <w:sz w:val="22"/>
          <w:szCs w:val="22"/>
        </w:rPr>
        <w:t xml:space="preserve">. </w:t>
      </w:r>
      <w:r w:rsidR="006815E6" w:rsidRPr="009B2EE5">
        <w:rPr>
          <w:sz w:val="22"/>
          <w:szCs w:val="22"/>
        </w:rPr>
        <w:t xml:space="preserve">Die </w:t>
      </w:r>
      <w:r w:rsidR="00617A67">
        <w:rPr>
          <w:sz w:val="22"/>
          <w:szCs w:val="22"/>
        </w:rPr>
        <w:t xml:space="preserve">betrieblichen </w:t>
      </w:r>
      <w:r w:rsidR="006815E6" w:rsidRPr="009B2EE5">
        <w:rPr>
          <w:sz w:val="22"/>
          <w:szCs w:val="22"/>
        </w:rPr>
        <w:t xml:space="preserve">Rückstellungen </w:t>
      </w:r>
      <w:r w:rsidR="006E6B4D">
        <w:rPr>
          <w:sz w:val="22"/>
          <w:szCs w:val="22"/>
        </w:rPr>
        <w:t xml:space="preserve">reduzieren sich </w:t>
      </w:r>
      <w:r w:rsidR="00617A67">
        <w:rPr>
          <w:sz w:val="22"/>
          <w:szCs w:val="22"/>
        </w:rPr>
        <w:t xml:space="preserve">auf </w:t>
      </w:r>
      <w:r w:rsidR="00720CFB">
        <w:rPr>
          <w:sz w:val="22"/>
          <w:szCs w:val="22"/>
        </w:rPr>
        <w:t>13,15</w:t>
      </w:r>
      <w:r w:rsidR="006815E6" w:rsidRPr="009B2EE5">
        <w:rPr>
          <w:sz w:val="22"/>
          <w:szCs w:val="22"/>
        </w:rPr>
        <w:t xml:space="preserve"> EU</w:t>
      </w:r>
      <w:r w:rsidR="00720CFB">
        <w:rPr>
          <w:sz w:val="22"/>
          <w:szCs w:val="22"/>
        </w:rPr>
        <w:t>R (Vorjahr 14,66</w:t>
      </w:r>
      <w:r w:rsidR="006815E6" w:rsidRPr="009B2EE5">
        <w:rPr>
          <w:sz w:val="22"/>
          <w:szCs w:val="22"/>
        </w:rPr>
        <w:t xml:space="preserve"> Mio. EUR)</w:t>
      </w:r>
      <w:r w:rsidR="00617A67">
        <w:rPr>
          <w:sz w:val="22"/>
          <w:szCs w:val="22"/>
        </w:rPr>
        <w:t>.</w:t>
      </w:r>
    </w:p>
    <w:p w:rsidR="00AD7760" w:rsidRDefault="00AD7760" w:rsidP="006815E6">
      <w:pPr>
        <w:jc w:val="both"/>
        <w:rPr>
          <w:sz w:val="22"/>
          <w:szCs w:val="22"/>
        </w:rPr>
      </w:pPr>
    </w:p>
    <w:p w:rsidR="0023744B" w:rsidRDefault="0023744B" w:rsidP="006815E6">
      <w:pPr>
        <w:jc w:val="both"/>
        <w:rPr>
          <w:sz w:val="22"/>
          <w:szCs w:val="22"/>
        </w:rPr>
      </w:pPr>
    </w:p>
    <w:p w:rsidR="000A5D2D" w:rsidRPr="00FF5132" w:rsidRDefault="00B259DA" w:rsidP="00BC5A3B">
      <w:pPr>
        <w:pStyle w:val="berschrift5"/>
        <w:rPr>
          <w:caps/>
        </w:rPr>
      </w:pPr>
      <w:r w:rsidRPr="00FF5132">
        <w:rPr>
          <w:caps/>
        </w:rPr>
        <w:t xml:space="preserve">Projekte </w:t>
      </w:r>
      <w:r w:rsidR="00C33264" w:rsidRPr="00FF5132">
        <w:rPr>
          <w:caps/>
        </w:rPr>
        <w:t xml:space="preserve">im Bereich </w:t>
      </w:r>
      <w:r w:rsidR="000A5D2D" w:rsidRPr="00FF5132">
        <w:rPr>
          <w:caps/>
        </w:rPr>
        <w:t>Klärwerke und Kanalbetrieb</w:t>
      </w:r>
    </w:p>
    <w:p w:rsidR="00FF5132" w:rsidRPr="00B64F97" w:rsidRDefault="00FF5132" w:rsidP="00FF5132">
      <w:pPr>
        <w:autoSpaceDE w:val="0"/>
        <w:autoSpaceDN w:val="0"/>
        <w:adjustRightInd w:val="0"/>
        <w:jc w:val="both"/>
        <w:rPr>
          <w:bCs/>
          <w:sz w:val="22"/>
        </w:rPr>
      </w:pPr>
      <w:r w:rsidRPr="00B64F97">
        <w:rPr>
          <w:bCs/>
          <w:sz w:val="22"/>
        </w:rPr>
        <w:t xml:space="preserve">Die </w:t>
      </w:r>
      <w:r>
        <w:rPr>
          <w:bCs/>
          <w:sz w:val="22"/>
        </w:rPr>
        <w:t>SES investierte im Jahr 2012</w:t>
      </w:r>
      <w:r w:rsidRPr="00B64F97">
        <w:rPr>
          <w:bCs/>
          <w:sz w:val="22"/>
        </w:rPr>
        <w:t xml:space="preserve"> </w:t>
      </w:r>
      <w:r w:rsidRPr="006E0E4F">
        <w:rPr>
          <w:bCs/>
          <w:sz w:val="22"/>
        </w:rPr>
        <w:t>18,3</w:t>
      </w:r>
      <w:r w:rsidR="006E0E4F" w:rsidRPr="006E0E4F">
        <w:rPr>
          <w:bCs/>
          <w:sz w:val="22"/>
        </w:rPr>
        <w:t>4</w:t>
      </w:r>
      <w:r w:rsidRPr="006E0E4F">
        <w:rPr>
          <w:bCs/>
          <w:sz w:val="22"/>
        </w:rPr>
        <w:t xml:space="preserve"> Mio. EUR in</w:t>
      </w:r>
      <w:r>
        <w:rPr>
          <w:bCs/>
          <w:sz w:val="22"/>
        </w:rPr>
        <w:t xml:space="preserve"> </w:t>
      </w:r>
      <w:r w:rsidR="00B02164">
        <w:rPr>
          <w:bCs/>
          <w:sz w:val="22"/>
        </w:rPr>
        <w:t xml:space="preserve">die </w:t>
      </w:r>
      <w:r>
        <w:rPr>
          <w:bCs/>
          <w:sz w:val="22"/>
        </w:rPr>
        <w:t>vier Klärwerke. Von rund 50</w:t>
      </w:r>
      <w:r w:rsidRPr="00B64F97">
        <w:rPr>
          <w:bCs/>
          <w:sz w:val="22"/>
        </w:rPr>
        <w:t xml:space="preserve"> aktuell </w:t>
      </w:r>
      <w:r w:rsidR="006E0E4F">
        <w:rPr>
          <w:bCs/>
          <w:sz w:val="22"/>
        </w:rPr>
        <w:t>zu bearbeitend</w:t>
      </w:r>
      <w:r w:rsidRPr="00B64F97">
        <w:rPr>
          <w:bCs/>
          <w:sz w:val="22"/>
        </w:rPr>
        <w:t>en</w:t>
      </w:r>
      <w:r>
        <w:rPr>
          <w:bCs/>
          <w:sz w:val="22"/>
        </w:rPr>
        <w:t xml:space="preserve"> Projekten (mit einem Volumen von über 100.000 EUR)</w:t>
      </w:r>
      <w:r w:rsidRPr="00B64F97">
        <w:rPr>
          <w:bCs/>
          <w:sz w:val="22"/>
        </w:rPr>
        <w:t xml:space="preserve"> waren 12 Projekte in der Bauphase. Es handelt sich dabei im Wesentlichen um Maßnahmen zur Verbesserung der Reinigungsleistung, zur Ertüchtigung bzw. Erneuerung von Anlagenteilen und zur Steig</w:t>
      </w:r>
      <w:r w:rsidRPr="00B64F97">
        <w:rPr>
          <w:bCs/>
          <w:sz w:val="22"/>
        </w:rPr>
        <w:t>e</w:t>
      </w:r>
      <w:r w:rsidRPr="00B64F97">
        <w:rPr>
          <w:bCs/>
          <w:sz w:val="22"/>
        </w:rPr>
        <w:t>rung der Energieeffizienz.</w:t>
      </w:r>
    </w:p>
    <w:p w:rsidR="00FF5132" w:rsidRPr="00B64F97" w:rsidRDefault="00FF5132" w:rsidP="00FF5132">
      <w:pPr>
        <w:jc w:val="both"/>
        <w:rPr>
          <w:bCs/>
          <w:sz w:val="22"/>
        </w:rPr>
      </w:pPr>
      <w:r w:rsidRPr="00B64F97">
        <w:rPr>
          <w:bCs/>
          <w:sz w:val="22"/>
        </w:rPr>
        <w:t xml:space="preserve">Größtes Bauprojekt im </w:t>
      </w:r>
      <w:r w:rsidRPr="00B64F97">
        <w:rPr>
          <w:bCs/>
          <w:sz w:val="22"/>
          <w:u w:val="single"/>
        </w:rPr>
        <w:t>Hauptklärwerk Mühlhausen</w:t>
      </w:r>
      <w:r>
        <w:rPr>
          <w:bCs/>
          <w:sz w:val="22"/>
        </w:rPr>
        <w:t xml:space="preserve"> </w:t>
      </w:r>
      <w:r w:rsidR="00B02164">
        <w:rPr>
          <w:bCs/>
          <w:sz w:val="22"/>
        </w:rPr>
        <w:t>ist</w:t>
      </w:r>
      <w:r>
        <w:rPr>
          <w:bCs/>
          <w:sz w:val="22"/>
        </w:rPr>
        <w:t xml:space="preserve"> </w:t>
      </w:r>
      <w:r w:rsidRPr="00B64F97">
        <w:rPr>
          <w:bCs/>
          <w:sz w:val="22"/>
        </w:rPr>
        <w:t xml:space="preserve">die Anlage zur Klärschlammfaulung mit zwei neuen </w:t>
      </w:r>
      <w:proofErr w:type="spellStart"/>
      <w:r w:rsidRPr="00B64F97">
        <w:rPr>
          <w:bCs/>
          <w:sz w:val="22"/>
        </w:rPr>
        <w:t>Faulbehältern</w:t>
      </w:r>
      <w:proofErr w:type="spellEnd"/>
      <w:r w:rsidRPr="00B64F97">
        <w:rPr>
          <w:bCs/>
          <w:sz w:val="22"/>
        </w:rPr>
        <w:t xml:space="preserve">, einem Maschinengebäude und einem Blockheizkraftwerk zur Strom- und Wärmegewinnung aus </w:t>
      </w:r>
      <w:proofErr w:type="spellStart"/>
      <w:r w:rsidRPr="00B64F97">
        <w:rPr>
          <w:bCs/>
          <w:sz w:val="22"/>
        </w:rPr>
        <w:t>Klärgas</w:t>
      </w:r>
      <w:proofErr w:type="spellEnd"/>
      <w:r w:rsidRPr="00B64F97">
        <w:rPr>
          <w:bCs/>
          <w:sz w:val="22"/>
        </w:rPr>
        <w:t>.</w:t>
      </w:r>
      <w:r>
        <w:rPr>
          <w:bCs/>
          <w:sz w:val="22"/>
        </w:rPr>
        <w:t xml:space="preserve"> </w:t>
      </w:r>
      <w:r w:rsidRPr="00B64F97">
        <w:rPr>
          <w:bCs/>
          <w:sz w:val="22"/>
        </w:rPr>
        <w:t xml:space="preserve">Diese Anlage </w:t>
      </w:r>
      <w:r>
        <w:rPr>
          <w:bCs/>
          <w:sz w:val="22"/>
        </w:rPr>
        <w:t>wurde im Juni 2012 in Betrieb g</w:t>
      </w:r>
      <w:r>
        <w:rPr>
          <w:bCs/>
          <w:sz w:val="22"/>
        </w:rPr>
        <w:t>e</w:t>
      </w:r>
      <w:r>
        <w:rPr>
          <w:bCs/>
          <w:sz w:val="22"/>
        </w:rPr>
        <w:t>nommen und wird</w:t>
      </w:r>
      <w:r w:rsidRPr="00B64F97">
        <w:rPr>
          <w:bCs/>
          <w:sz w:val="22"/>
        </w:rPr>
        <w:t xml:space="preserve"> die Eigenstromerzeugung </w:t>
      </w:r>
      <w:r>
        <w:rPr>
          <w:bCs/>
          <w:sz w:val="22"/>
        </w:rPr>
        <w:t>in Zukunft</w:t>
      </w:r>
      <w:r w:rsidRPr="00B64F97">
        <w:rPr>
          <w:bCs/>
          <w:sz w:val="22"/>
        </w:rPr>
        <w:t xml:space="preserve"> deutlich steigern. </w:t>
      </w:r>
      <w:r>
        <w:rPr>
          <w:bCs/>
          <w:sz w:val="22"/>
        </w:rPr>
        <w:t>Zu einer verbesse</w:t>
      </w:r>
      <w:r>
        <w:rPr>
          <w:bCs/>
          <w:sz w:val="22"/>
        </w:rPr>
        <w:t>r</w:t>
      </w:r>
      <w:r>
        <w:rPr>
          <w:bCs/>
          <w:sz w:val="22"/>
        </w:rPr>
        <w:t>ten Ene</w:t>
      </w:r>
      <w:r w:rsidR="00EA3ACC">
        <w:rPr>
          <w:bCs/>
          <w:sz w:val="22"/>
        </w:rPr>
        <w:t>r</w:t>
      </w:r>
      <w:r>
        <w:rPr>
          <w:bCs/>
          <w:sz w:val="22"/>
        </w:rPr>
        <w:t xml:space="preserve">gieeffizienz trägt auch die </w:t>
      </w:r>
      <w:r w:rsidR="00B02164">
        <w:rPr>
          <w:bCs/>
          <w:sz w:val="22"/>
        </w:rPr>
        <w:t>Prozessl</w:t>
      </w:r>
      <w:r>
        <w:rPr>
          <w:bCs/>
          <w:sz w:val="22"/>
        </w:rPr>
        <w:t xml:space="preserve">eittechnik in der Biologie Nord bei. </w:t>
      </w:r>
      <w:r w:rsidRPr="00B64F97">
        <w:rPr>
          <w:bCs/>
          <w:sz w:val="22"/>
        </w:rPr>
        <w:t xml:space="preserve">Der Rohbau </w:t>
      </w:r>
      <w:r>
        <w:rPr>
          <w:bCs/>
          <w:sz w:val="22"/>
        </w:rPr>
        <w:t>und die Ma</w:t>
      </w:r>
      <w:r w:rsidR="00EA3ACC">
        <w:rPr>
          <w:bCs/>
          <w:sz w:val="22"/>
        </w:rPr>
        <w:t>s</w:t>
      </w:r>
      <w:r>
        <w:rPr>
          <w:bCs/>
          <w:sz w:val="22"/>
        </w:rPr>
        <w:t xml:space="preserve">chinentechnik </w:t>
      </w:r>
      <w:r w:rsidRPr="00B64F97">
        <w:rPr>
          <w:bCs/>
          <w:sz w:val="22"/>
        </w:rPr>
        <w:t>für ein neues Nachklärbecken (NKB 17) wurde</w:t>
      </w:r>
      <w:r>
        <w:rPr>
          <w:bCs/>
          <w:sz w:val="22"/>
        </w:rPr>
        <w:t>n</w:t>
      </w:r>
      <w:r w:rsidRPr="00B64F97">
        <w:rPr>
          <w:bCs/>
          <w:sz w:val="22"/>
        </w:rPr>
        <w:t xml:space="preserve"> fristgerecht </w:t>
      </w:r>
      <w:r>
        <w:rPr>
          <w:bCs/>
          <w:sz w:val="22"/>
        </w:rPr>
        <w:t>fertig gestellt</w:t>
      </w:r>
      <w:r w:rsidRPr="00B64F97">
        <w:rPr>
          <w:bCs/>
          <w:sz w:val="22"/>
        </w:rPr>
        <w:t xml:space="preserve">. </w:t>
      </w:r>
      <w:r>
        <w:rPr>
          <w:bCs/>
          <w:sz w:val="22"/>
        </w:rPr>
        <w:t>D</w:t>
      </w:r>
      <w:r w:rsidRPr="00B64F97">
        <w:rPr>
          <w:bCs/>
          <w:sz w:val="22"/>
        </w:rPr>
        <w:t xml:space="preserve">ie </w:t>
      </w:r>
      <w:r>
        <w:rPr>
          <w:bCs/>
          <w:sz w:val="22"/>
        </w:rPr>
        <w:t>Rohb</w:t>
      </w:r>
      <w:r w:rsidRPr="00B64F97">
        <w:rPr>
          <w:bCs/>
          <w:sz w:val="22"/>
        </w:rPr>
        <w:t xml:space="preserve">auarbeiten </w:t>
      </w:r>
      <w:r>
        <w:rPr>
          <w:bCs/>
          <w:sz w:val="22"/>
        </w:rPr>
        <w:t xml:space="preserve">und die Maschinentechnik </w:t>
      </w:r>
      <w:r w:rsidRPr="00B64F97">
        <w:rPr>
          <w:bCs/>
          <w:sz w:val="22"/>
        </w:rPr>
        <w:t>für eine zweite Anlage zur Annahme von extern angeliefertem Klärschlamm in flüssiger, entwässerter und getrockneter Form</w:t>
      </w:r>
      <w:r>
        <w:rPr>
          <w:bCs/>
          <w:sz w:val="22"/>
        </w:rPr>
        <w:t xml:space="preserve"> konnten weitgehend abgeschlossen werden</w:t>
      </w:r>
      <w:r w:rsidRPr="00B64F97">
        <w:rPr>
          <w:bCs/>
          <w:sz w:val="22"/>
        </w:rPr>
        <w:t xml:space="preserve">. </w:t>
      </w:r>
      <w:r>
        <w:rPr>
          <w:bCs/>
          <w:sz w:val="22"/>
        </w:rPr>
        <w:t>Der Neubau einer leistungsfähigen Druckluf</w:t>
      </w:r>
      <w:r>
        <w:rPr>
          <w:bCs/>
          <w:sz w:val="22"/>
        </w:rPr>
        <w:t>t</w:t>
      </w:r>
      <w:r>
        <w:rPr>
          <w:bCs/>
          <w:sz w:val="22"/>
        </w:rPr>
        <w:t xml:space="preserve">station in einem vorhandenen Gebäude hat begonnen. </w:t>
      </w:r>
      <w:r w:rsidRPr="00B64F97">
        <w:rPr>
          <w:bCs/>
          <w:sz w:val="22"/>
        </w:rPr>
        <w:t>Größere Planungsleistung</w:t>
      </w:r>
      <w:r>
        <w:rPr>
          <w:bCs/>
          <w:sz w:val="22"/>
        </w:rPr>
        <w:t>en wurden für die Neuordnung der Pumpenhäuser</w:t>
      </w:r>
      <w:r w:rsidRPr="00B64F97">
        <w:rPr>
          <w:bCs/>
          <w:sz w:val="22"/>
        </w:rPr>
        <w:t xml:space="preserve"> 4</w:t>
      </w:r>
      <w:r>
        <w:rPr>
          <w:bCs/>
          <w:sz w:val="22"/>
        </w:rPr>
        <w:t xml:space="preserve"> und 5</w:t>
      </w:r>
      <w:r w:rsidRPr="00B64F97">
        <w:rPr>
          <w:bCs/>
          <w:sz w:val="22"/>
        </w:rPr>
        <w:t>, für die Verbesserung der Phosphorentfe</w:t>
      </w:r>
      <w:r w:rsidRPr="00B64F97">
        <w:rPr>
          <w:bCs/>
          <w:sz w:val="22"/>
        </w:rPr>
        <w:t>r</w:t>
      </w:r>
      <w:r w:rsidRPr="00B64F97">
        <w:rPr>
          <w:bCs/>
          <w:sz w:val="22"/>
        </w:rPr>
        <w:t>nung, die Sanierung der Sandfilteranlage und den Neubau einer Reinigungsstufe zur Entfe</w:t>
      </w:r>
      <w:r w:rsidRPr="00B64F97">
        <w:rPr>
          <w:bCs/>
          <w:sz w:val="22"/>
        </w:rPr>
        <w:t>r</w:t>
      </w:r>
      <w:r w:rsidRPr="00B64F97">
        <w:rPr>
          <w:bCs/>
          <w:sz w:val="22"/>
        </w:rPr>
        <w:t>nung von Mikroschadstoffen und Arzneimitteln begonnen</w:t>
      </w:r>
      <w:r>
        <w:rPr>
          <w:bCs/>
          <w:sz w:val="22"/>
        </w:rPr>
        <w:t xml:space="preserve"> bzw. fortgesetzt</w:t>
      </w:r>
      <w:r w:rsidRPr="00B64F97">
        <w:rPr>
          <w:bCs/>
          <w:sz w:val="22"/>
        </w:rPr>
        <w:t>.</w:t>
      </w:r>
      <w:r>
        <w:rPr>
          <w:bCs/>
          <w:sz w:val="22"/>
        </w:rPr>
        <w:t xml:space="preserve"> Der Betriebsau</w:t>
      </w:r>
      <w:r>
        <w:rPr>
          <w:bCs/>
          <w:sz w:val="22"/>
        </w:rPr>
        <w:t>s</w:t>
      </w:r>
      <w:r>
        <w:rPr>
          <w:bCs/>
          <w:sz w:val="22"/>
        </w:rPr>
        <w:t xml:space="preserve">schuss fasste den Vorprojektbeschluss für einen neuen Eingangsbereich beim Tor 1, der den Besucherempfang und die Öffentlichkeitsarbeit verbessern wird. Dieses Projekt umfasst auch den Neubau von Betriebsräumen als Ersatz für Provisorien. Die drei in den Jahren 2013/14 zum Rückbau vorgesehenen etwa 50 Jahre alten </w:t>
      </w:r>
      <w:proofErr w:type="spellStart"/>
      <w:r>
        <w:rPr>
          <w:bCs/>
          <w:sz w:val="22"/>
        </w:rPr>
        <w:t>Faulbehälter</w:t>
      </w:r>
      <w:proofErr w:type="spellEnd"/>
      <w:r>
        <w:rPr>
          <w:bCs/>
          <w:sz w:val="22"/>
        </w:rPr>
        <w:t xml:space="preserve"> wurden entleert. Ein Ingenieurbüro wurde mit einer Studie zur Auswahl einer zukunftsweisenden Technik der Klärschlammentsorgung beauftragt.</w:t>
      </w:r>
    </w:p>
    <w:p w:rsidR="00FF5132" w:rsidRPr="00B64F97" w:rsidRDefault="00FF5132" w:rsidP="00FF5132">
      <w:pPr>
        <w:autoSpaceDE w:val="0"/>
        <w:autoSpaceDN w:val="0"/>
        <w:adjustRightInd w:val="0"/>
        <w:jc w:val="both"/>
        <w:rPr>
          <w:bCs/>
          <w:sz w:val="22"/>
        </w:rPr>
      </w:pPr>
      <w:r w:rsidRPr="00B64F97">
        <w:rPr>
          <w:bCs/>
          <w:sz w:val="22"/>
        </w:rPr>
        <w:t xml:space="preserve">Im </w:t>
      </w:r>
      <w:r w:rsidRPr="00817BA4">
        <w:rPr>
          <w:bCs/>
          <w:sz w:val="22"/>
          <w:u w:val="single"/>
        </w:rPr>
        <w:t>Klärwerk Möhringen</w:t>
      </w:r>
      <w:r w:rsidRPr="00B64F97">
        <w:rPr>
          <w:bCs/>
          <w:sz w:val="22"/>
        </w:rPr>
        <w:t xml:space="preserve"> wurde die Sanierung der Vorklärung </w:t>
      </w:r>
      <w:r>
        <w:rPr>
          <w:bCs/>
          <w:sz w:val="22"/>
        </w:rPr>
        <w:t xml:space="preserve">abgeschlossen </w:t>
      </w:r>
      <w:r w:rsidRPr="00B64F97">
        <w:rPr>
          <w:bCs/>
          <w:sz w:val="22"/>
        </w:rPr>
        <w:t>und die umfan</w:t>
      </w:r>
      <w:r w:rsidRPr="00B64F97">
        <w:rPr>
          <w:bCs/>
          <w:sz w:val="22"/>
        </w:rPr>
        <w:t>g</w:t>
      </w:r>
      <w:r w:rsidRPr="00B64F97">
        <w:rPr>
          <w:bCs/>
          <w:sz w:val="22"/>
        </w:rPr>
        <w:t>reiche Erneue</w:t>
      </w:r>
      <w:r>
        <w:rPr>
          <w:bCs/>
          <w:sz w:val="22"/>
        </w:rPr>
        <w:softHyphen/>
      </w:r>
      <w:r w:rsidRPr="00B64F97">
        <w:rPr>
          <w:bCs/>
          <w:sz w:val="22"/>
        </w:rPr>
        <w:t>r</w:t>
      </w:r>
      <w:r>
        <w:rPr>
          <w:bCs/>
          <w:sz w:val="22"/>
        </w:rPr>
        <w:t xml:space="preserve">ung der Prozessautomatisierung </w:t>
      </w:r>
      <w:r w:rsidRPr="00B64F97">
        <w:rPr>
          <w:bCs/>
          <w:sz w:val="22"/>
        </w:rPr>
        <w:t xml:space="preserve">fortgesetzt. </w:t>
      </w:r>
      <w:r>
        <w:rPr>
          <w:bCs/>
          <w:sz w:val="22"/>
        </w:rPr>
        <w:t>Die Planungen für die Verbess</w:t>
      </w:r>
      <w:r>
        <w:rPr>
          <w:bCs/>
          <w:sz w:val="22"/>
        </w:rPr>
        <w:t>e</w:t>
      </w:r>
      <w:r>
        <w:rPr>
          <w:bCs/>
          <w:sz w:val="22"/>
        </w:rPr>
        <w:t>rung der Nachklärung wurden weitergeführt und für den Bau eines Geröllfangs begonnen.</w:t>
      </w:r>
    </w:p>
    <w:p w:rsidR="00FF5132" w:rsidRPr="00B64F97" w:rsidRDefault="00FF5132" w:rsidP="00FF5132">
      <w:pPr>
        <w:autoSpaceDE w:val="0"/>
        <w:autoSpaceDN w:val="0"/>
        <w:adjustRightInd w:val="0"/>
        <w:jc w:val="both"/>
        <w:rPr>
          <w:bCs/>
          <w:sz w:val="22"/>
        </w:rPr>
      </w:pPr>
      <w:r w:rsidRPr="00B64F97">
        <w:rPr>
          <w:bCs/>
          <w:sz w:val="22"/>
        </w:rPr>
        <w:t xml:space="preserve">Im </w:t>
      </w:r>
      <w:r w:rsidRPr="00817BA4">
        <w:rPr>
          <w:bCs/>
          <w:sz w:val="22"/>
          <w:u w:val="single"/>
        </w:rPr>
        <w:t xml:space="preserve">Klärwerk </w:t>
      </w:r>
      <w:proofErr w:type="spellStart"/>
      <w:r w:rsidRPr="00817BA4">
        <w:rPr>
          <w:bCs/>
          <w:sz w:val="22"/>
          <w:u w:val="single"/>
        </w:rPr>
        <w:t>Plieningen</w:t>
      </w:r>
      <w:proofErr w:type="spellEnd"/>
      <w:r w:rsidRPr="00B64F97">
        <w:rPr>
          <w:bCs/>
          <w:sz w:val="22"/>
        </w:rPr>
        <w:t xml:space="preserve"> </w:t>
      </w:r>
      <w:r>
        <w:rPr>
          <w:bCs/>
          <w:sz w:val="22"/>
        </w:rPr>
        <w:t>wurde</w:t>
      </w:r>
      <w:r w:rsidRPr="00B64F97">
        <w:rPr>
          <w:bCs/>
          <w:sz w:val="22"/>
        </w:rPr>
        <w:t xml:space="preserve"> die Erneuerung der Prozessautomatisierung </w:t>
      </w:r>
      <w:r>
        <w:rPr>
          <w:bCs/>
          <w:sz w:val="22"/>
        </w:rPr>
        <w:t>weitergeführt. Planungen für die Verbesserung der Vorklärung, der Phosphorelimination und des Sandfi</w:t>
      </w:r>
      <w:r>
        <w:rPr>
          <w:bCs/>
          <w:sz w:val="22"/>
        </w:rPr>
        <w:t>l</w:t>
      </w:r>
      <w:r>
        <w:rPr>
          <w:bCs/>
          <w:sz w:val="22"/>
        </w:rPr>
        <w:t>ters sowie für ein neues Schlammsilo wurden weitergeführt bzw. beauftragt.</w:t>
      </w:r>
    </w:p>
    <w:p w:rsidR="00FF5132" w:rsidRPr="00B64F97" w:rsidRDefault="00FF5132" w:rsidP="00FF5132">
      <w:pPr>
        <w:jc w:val="both"/>
        <w:rPr>
          <w:bCs/>
          <w:sz w:val="22"/>
        </w:rPr>
      </w:pPr>
      <w:r w:rsidRPr="00B64F97">
        <w:rPr>
          <w:bCs/>
          <w:sz w:val="22"/>
        </w:rPr>
        <w:t xml:space="preserve">Die Ausführungsplanung zur Sanierung des </w:t>
      </w:r>
      <w:r w:rsidRPr="00817BA4">
        <w:rPr>
          <w:bCs/>
          <w:sz w:val="22"/>
          <w:u w:val="single"/>
        </w:rPr>
        <w:t>Gruppenklärwerks Ditzingen</w:t>
      </w:r>
      <w:r w:rsidRPr="00B64F97">
        <w:rPr>
          <w:bCs/>
          <w:sz w:val="22"/>
        </w:rPr>
        <w:t xml:space="preserve"> ist </w:t>
      </w:r>
      <w:r>
        <w:rPr>
          <w:bCs/>
          <w:sz w:val="22"/>
        </w:rPr>
        <w:t>weitgehend a</w:t>
      </w:r>
      <w:r>
        <w:rPr>
          <w:bCs/>
          <w:sz w:val="22"/>
        </w:rPr>
        <w:t>b</w:t>
      </w:r>
      <w:r>
        <w:rPr>
          <w:bCs/>
          <w:sz w:val="22"/>
        </w:rPr>
        <w:t>geschlossen. Ein</w:t>
      </w:r>
      <w:r w:rsidRPr="00B64F97">
        <w:rPr>
          <w:bCs/>
          <w:sz w:val="22"/>
        </w:rPr>
        <w:t xml:space="preserve"> Teil der Bauleistungen ist bereits vergeben, </w:t>
      </w:r>
      <w:r>
        <w:rPr>
          <w:bCs/>
          <w:sz w:val="22"/>
        </w:rPr>
        <w:t>so dass mit dem Bau im Jahr 2013</w:t>
      </w:r>
      <w:r w:rsidRPr="00B64F97">
        <w:rPr>
          <w:bCs/>
          <w:sz w:val="22"/>
        </w:rPr>
        <w:t xml:space="preserve"> begonnen wer</w:t>
      </w:r>
      <w:r>
        <w:rPr>
          <w:bCs/>
          <w:sz w:val="22"/>
        </w:rPr>
        <w:softHyphen/>
      </w:r>
      <w:r w:rsidRPr="00B64F97">
        <w:rPr>
          <w:bCs/>
          <w:sz w:val="22"/>
        </w:rPr>
        <w:t xml:space="preserve">den kann. Es bleibt ein ehrgeiziges Ziel, die mit </w:t>
      </w:r>
      <w:proofErr w:type="spellStart"/>
      <w:r w:rsidRPr="00B64F97">
        <w:rPr>
          <w:bCs/>
          <w:sz w:val="22"/>
        </w:rPr>
        <w:t>Gerlingen</w:t>
      </w:r>
      <w:proofErr w:type="spellEnd"/>
      <w:r w:rsidRPr="00B64F97">
        <w:rPr>
          <w:bCs/>
          <w:sz w:val="22"/>
        </w:rPr>
        <w:t xml:space="preserve"> und Ditzingen vereinbarten und beschlossenen Baukosten von 23,0 Mio. € angesichts steigender Baupre</w:t>
      </w:r>
      <w:r w:rsidRPr="00B64F97">
        <w:rPr>
          <w:bCs/>
          <w:sz w:val="22"/>
        </w:rPr>
        <w:t>i</w:t>
      </w:r>
      <w:r w:rsidRPr="00B64F97">
        <w:rPr>
          <w:bCs/>
          <w:sz w:val="22"/>
        </w:rPr>
        <w:t>se einzuhalten.</w:t>
      </w:r>
      <w:r>
        <w:rPr>
          <w:bCs/>
          <w:sz w:val="22"/>
        </w:rPr>
        <w:t xml:space="preserve"> </w:t>
      </w:r>
      <w:r w:rsidRPr="00B64F97">
        <w:rPr>
          <w:bCs/>
          <w:sz w:val="22"/>
        </w:rPr>
        <w:t xml:space="preserve">Darüber hinaus gab es in allen Klärwerken zahlreiche kleinere Projekte, die der </w:t>
      </w:r>
      <w:r>
        <w:rPr>
          <w:bCs/>
          <w:sz w:val="22"/>
        </w:rPr>
        <w:t>Instandhaltung</w:t>
      </w:r>
      <w:r w:rsidRPr="00B64F97">
        <w:rPr>
          <w:bCs/>
          <w:sz w:val="22"/>
        </w:rPr>
        <w:t xml:space="preserve"> und der energetischen Optimierung dienten.</w:t>
      </w:r>
    </w:p>
    <w:p w:rsidR="00B64F97" w:rsidRPr="00B21626" w:rsidRDefault="00FF5132" w:rsidP="00FF5132">
      <w:pPr>
        <w:pStyle w:val="Textkrper"/>
        <w:rPr>
          <w:b w:val="0"/>
          <w:sz w:val="22"/>
          <w:highlight w:val="yellow"/>
        </w:rPr>
      </w:pPr>
      <w:r>
        <w:rPr>
          <w:b w:val="0"/>
          <w:sz w:val="22"/>
        </w:rPr>
        <w:t xml:space="preserve">Der </w:t>
      </w:r>
      <w:r>
        <w:rPr>
          <w:b w:val="0"/>
          <w:sz w:val="22"/>
          <w:u w:val="single"/>
        </w:rPr>
        <w:t>Kanalbetrieb</w:t>
      </w:r>
      <w:r>
        <w:rPr>
          <w:b w:val="0"/>
          <w:sz w:val="22"/>
        </w:rPr>
        <w:t xml:space="preserve"> untersuchte im Berichtsjahr im Rahmen der Eigenkontrollverordnung rund 148 Kilometer Kanäle (Vorjahr 148 km) und 2.500 Anschlusskanäle (Vorjahr 5.800). Durch die Mitarbeiter wurden 525 Kilometer Kanäle (Vorjahr 456 km) gereinigt, 2.160 Inspektions</w:t>
      </w:r>
      <w:r>
        <w:rPr>
          <w:b w:val="0"/>
          <w:sz w:val="22"/>
        </w:rPr>
        <w:softHyphen/>
        <w:t>gänge (Vorjahr 2.360) absolviert und 1.100 Störungen (Vorjahr 750) im Netz beseitigt.</w:t>
      </w:r>
    </w:p>
    <w:p w:rsidR="004A4D3C" w:rsidRDefault="004A4D3C" w:rsidP="004A4D3C">
      <w:pPr>
        <w:rPr>
          <w:highlight w:val="yellow"/>
        </w:rPr>
      </w:pPr>
    </w:p>
    <w:p w:rsidR="0023744B" w:rsidRPr="00B21626" w:rsidRDefault="0023744B" w:rsidP="004A4D3C">
      <w:pPr>
        <w:rPr>
          <w:highlight w:val="yellow"/>
        </w:rPr>
      </w:pPr>
    </w:p>
    <w:p w:rsidR="000A5D2D" w:rsidRPr="00FD2769" w:rsidRDefault="00B259DA" w:rsidP="000A5D2D">
      <w:pPr>
        <w:pStyle w:val="berschrift5"/>
      </w:pPr>
      <w:r w:rsidRPr="00FD2769">
        <w:rPr>
          <w:caps/>
        </w:rPr>
        <w:t>Projekte</w:t>
      </w:r>
      <w:r w:rsidR="00C33264" w:rsidRPr="00FD2769">
        <w:rPr>
          <w:caps/>
        </w:rPr>
        <w:t xml:space="preserve"> im Bereich </w:t>
      </w:r>
      <w:r w:rsidR="000A5D2D" w:rsidRPr="00FD2769">
        <w:t>ENTWÄSSERUNG</w:t>
      </w:r>
      <w:r w:rsidR="00C33264" w:rsidRPr="00FD2769">
        <w:t xml:space="preserve"> </w:t>
      </w:r>
    </w:p>
    <w:p w:rsidR="00CE76D8" w:rsidRDefault="00B02164" w:rsidP="00FD2769">
      <w:pPr>
        <w:autoSpaceDE w:val="0"/>
        <w:autoSpaceDN w:val="0"/>
        <w:adjustRightInd w:val="0"/>
        <w:jc w:val="both"/>
        <w:rPr>
          <w:b/>
          <w:bCs/>
          <w:color w:val="000000"/>
          <w:sz w:val="22"/>
          <w:szCs w:val="22"/>
          <w:lang w:eastAsia="de-DE"/>
        </w:rPr>
      </w:pPr>
      <w:r>
        <w:rPr>
          <w:color w:val="000000"/>
          <w:sz w:val="22"/>
          <w:szCs w:val="22"/>
          <w:lang w:eastAsia="de-DE"/>
        </w:rPr>
        <w:t>Im Jahr 2012 wurde die Leistungsfähigkeit von</w:t>
      </w:r>
      <w:r w:rsidR="00FD2769" w:rsidRPr="00CE76D8">
        <w:rPr>
          <w:color w:val="000000"/>
          <w:sz w:val="22"/>
          <w:szCs w:val="22"/>
          <w:lang w:eastAsia="de-DE"/>
        </w:rPr>
        <w:t xml:space="preserve"> Kanäle</w:t>
      </w:r>
      <w:r>
        <w:rPr>
          <w:color w:val="000000"/>
          <w:sz w:val="22"/>
          <w:szCs w:val="22"/>
          <w:lang w:eastAsia="de-DE"/>
        </w:rPr>
        <w:t>n durch größere Querschnitte erhöht</w:t>
      </w:r>
      <w:r w:rsidR="00FD2769" w:rsidRPr="00CE76D8">
        <w:rPr>
          <w:color w:val="000000"/>
          <w:sz w:val="22"/>
          <w:szCs w:val="22"/>
          <w:lang w:eastAsia="de-DE"/>
        </w:rPr>
        <w:t xml:space="preserve"> (z. B. in der Mauserstraße in Feuerbach, Am </w:t>
      </w:r>
      <w:proofErr w:type="spellStart"/>
      <w:r w:rsidR="00FD2769" w:rsidRPr="00CE76D8">
        <w:rPr>
          <w:color w:val="000000"/>
          <w:sz w:val="22"/>
          <w:szCs w:val="22"/>
          <w:lang w:eastAsia="de-DE"/>
        </w:rPr>
        <w:t>Ostkai</w:t>
      </w:r>
      <w:proofErr w:type="spellEnd"/>
      <w:r w:rsidR="00FD2769" w:rsidRPr="00CE76D8">
        <w:rPr>
          <w:color w:val="000000"/>
          <w:sz w:val="22"/>
          <w:szCs w:val="22"/>
          <w:lang w:eastAsia="de-DE"/>
        </w:rPr>
        <w:t xml:space="preserve"> in </w:t>
      </w:r>
      <w:proofErr w:type="spellStart"/>
      <w:r w:rsidR="00FD2769" w:rsidRPr="00CE76D8">
        <w:rPr>
          <w:color w:val="000000"/>
          <w:sz w:val="22"/>
          <w:szCs w:val="22"/>
          <w:lang w:eastAsia="de-DE"/>
        </w:rPr>
        <w:t>Hedelfingen</w:t>
      </w:r>
      <w:proofErr w:type="spellEnd"/>
      <w:r w:rsidR="00FD2769" w:rsidRPr="00CE76D8">
        <w:rPr>
          <w:color w:val="000000"/>
          <w:sz w:val="22"/>
          <w:szCs w:val="22"/>
          <w:lang w:eastAsia="de-DE"/>
        </w:rPr>
        <w:t xml:space="preserve"> und in der Reutlinger Straße in Degerloch). </w:t>
      </w:r>
      <w:r w:rsidR="00CE76D8" w:rsidRPr="00CE76D8">
        <w:rPr>
          <w:bCs/>
          <w:color w:val="000000"/>
          <w:sz w:val="22"/>
          <w:szCs w:val="22"/>
          <w:lang w:eastAsia="de-DE"/>
        </w:rPr>
        <w:t>Um den heutigen Anforderungen an ein leistungsfähiges Kanalnetz Rechnung zu tragen</w:t>
      </w:r>
      <w:r w:rsidR="006320ED">
        <w:rPr>
          <w:bCs/>
          <w:color w:val="000000"/>
          <w:sz w:val="22"/>
          <w:szCs w:val="22"/>
          <w:lang w:eastAsia="de-DE"/>
        </w:rPr>
        <w:t>,</w:t>
      </w:r>
      <w:r w:rsidR="00CE76D8" w:rsidRPr="00CE76D8">
        <w:rPr>
          <w:color w:val="000000"/>
          <w:sz w:val="22"/>
          <w:szCs w:val="22"/>
          <w:lang w:eastAsia="de-DE"/>
        </w:rPr>
        <w:t xml:space="preserve"> </w:t>
      </w:r>
      <w:r w:rsidR="00CE76D8">
        <w:rPr>
          <w:color w:val="000000"/>
          <w:sz w:val="22"/>
          <w:szCs w:val="22"/>
          <w:lang w:eastAsia="de-DE"/>
        </w:rPr>
        <w:t xml:space="preserve">wurden </w:t>
      </w:r>
      <w:r w:rsidR="00FD2769" w:rsidRPr="00CE76D8">
        <w:rPr>
          <w:color w:val="000000"/>
          <w:sz w:val="22"/>
          <w:szCs w:val="22"/>
          <w:lang w:eastAsia="de-DE"/>
        </w:rPr>
        <w:t xml:space="preserve">alte schadhafte Kanäle unter anderem in Bad </w:t>
      </w:r>
      <w:proofErr w:type="spellStart"/>
      <w:r w:rsidR="00FD2769" w:rsidRPr="00CE76D8">
        <w:rPr>
          <w:color w:val="000000"/>
          <w:sz w:val="22"/>
          <w:szCs w:val="22"/>
          <w:lang w:eastAsia="de-DE"/>
        </w:rPr>
        <w:t>Cannstatt</w:t>
      </w:r>
      <w:proofErr w:type="spellEnd"/>
      <w:r w:rsidR="00FD2769" w:rsidRPr="00CE76D8">
        <w:rPr>
          <w:color w:val="000000"/>
          <w:sz w:val="22"/>
          <w:szCs w:val="22"/>
          <w:lang w:eastAsia="de-DE"/>
        </w:rPr>
        <w:t>, Stut</w:t>
      </w:r>
      <w:r w:rsidR="00FD2769" w:rsidRPr="00CE76D8">
        <w:rPr>
          <w:color w:val="000000"/>
          <w:sz w:val="22"/>
          <w:szCs w:val="22"/>
          <w:lang w:eastAsia="de-DE"/>
        </w:rPr>
        <w:t>t</w:t>
      </w:r>
      <w:r w:rsidR="00FD2769" w:rsidRPr="00CE76D8">
        <w:rPr>
          <w:color w:val="000000"/>
          <w:sz w:val="22"/>
          <w:szCs w:val="22"/>
          <w:lang w:eastAsia="de-DE"/>
        </w:rPr>
        <w:t xml:space="preserve">gart-Ost, </w:t>
      </w:r>
      <w:r w:rsidR="00B561CC">
        <w:rPr>
          <w:color w:val="000000"/>
          <w:sz w:val="22"/>
          <w:szCs w:val="22"/>
          <w:lang w:eastAsia="de-DE"/>
        </w:rPr>
        <w:t xml:space="preserve">Neuwirtshaus, </w:t>
      </w:r>
      <w:proofErr w:type="spellStart"/>
      <w:r w:rsidR="00FD2769" w:rsidRPr="00CE76D8">
        <w:rPr>
          <w:color w:val="000000"/>
          <w:sz w:val="22"/>
          <w:szCs w:val="22"/>
          <w:lang w:eastAsia="de-DE"/>
        </w:rPr>
        <w:t>Obertürkheim</w:t>
      </w:r>
      <w:proofErr w:type="spellEnd"/>
      <w:r w:rsidR="00FD2769" w:rsidRPr="00CE76D8">
        <w:rPr>
          <w:color w:val="000000"/>
          <w:sz w:val="22"/>
          <w:szCs w:val="22"/>
          <w:lang w:eastAsia="de-DE"/>
        </w:rPr>
        <w:t xml:space="preserve"> und in Zuffenhausen saniert und ausgetauscht. </w:t>
      </w:r>
      <w:r w:rsidR="00B561CC" w:rsidRPr="00CE76D8">
        <w:rPr>
          <w:bCs/>
          <w:color w:val="000000"/>
          <w:sz w:val="22"/>
          <w:szCs w:val="22"/>
          <w:lang w:eastAsia="de-DE"/>
        </w:rPr>
        <w:t xml:space="preserve">Im Zuge von Umgestaltungsmaßnahmen im Straßennetz von Zuffenhausen wurden in der </w:t>
      </w:r>
      <w:proofErr w:type="spellStart"/>
      <w:r w:rsidR="00B561CC" w:rsidRPr="00CE76D8">
        <w:rPr>
          <w:bCs/>
          <w:color w:val="000000"/>
          <w:sz w:val="22"/>
          <w:szCs w:val="22"/>
          <w:lang w:eastAsia="de-DE"/>
        </w:rPr>
        <w:t>Stammheimer</w:t>
      </w:r>
      <w:proofErr w:type="spellEnd"/>
      <w:r w:rsidR="00B561CC" w:rsidRPr="00CE76D8">
        <w:rPr>
          <w:bCs/>
          <w:color w:val="000000"/>
          <w:sz w:val="22"/>
          <w:szCs w:val="22"/>
          <w:lang w:eastAsia="de-DE"/>
        </w:rPr>
        <w:t xml:space="preserve"> Straße die Kanalanlagen neu verlegt.</w:t>
      </w:r>
      <w:r w:rsidR="00B561CC">
        <w:rPr>
          <w:bCs/>
          <w:color w:val="000000"/>
          <w:sz w:val="22"/>
          <w:szCs w:val="22"/>
          <w:lang w:eastAsia="de-DE"/>
        </w:rPr>
        <w:t xml:space="preserve"> </w:t>
      </w:r>
      <w:r w:rsidR="00FD2769" w:rsidRPr="00CE76D8">
        <w:rPr>
          <w:color w:val="000000"/>
          <w:sz w:val="22"/>
          <w:szCs w:val="22"/>
          <w:lang w:eastAsia="de-DE"/>
        </w:rPr>
        <w:t xml:space="preserve">Für Schulneubauten in der Kemnater </w:t>
      </w:r>
      <w:r w:rsidR="00FD2769" w:rsidRPr="00CE76D8">
        <w:rPr>
          <w:color w:val="000000"/>
          <w:sz w:val="22"/>
          <w:szCs w:val="22"/>
          <w:lang w:eastAsia="de-DE"/>
        </w:rPr>
        <w:lastRenderedPageBreak/>
        <w:t>Stra</w:t>
      </w:r>
      <w:r w:rsidR="00AD7760">
        <w:rPr>
          <w:color w:val="000000"/>
          <w:sz w:val="22"/>
          <w:szCs w:val="22"/>
          <w:lang w:eastAsia="de-DE"/>
        </w:rPr>
        <w:t>ße (</w:t>
      </w:r>
      <w:proofErr w:type="spellStart"/>
      <w:r w:rsidR="00AD7760">
        <w:rPr>
          <w:color w:val="000000"/>
          <w:sz w:val="22"/>
          <w:szCs w:val="22"/>
          <w:lang w:eastAsia="de-DE"/>
        </w:rPr>
        <w:t>Sillenbuch</w:t>
      </w:r>
      <w:proofErr w:type="spellEnd"/>
      <w:r w:rsidR="00AD7760">
        <w:rPr>
          <w:color w:val="000000"/>
          <w:sz w:val="22"/>
          <w:szCs w:val="22"/>
          <w:lang w:eastAsia="de-DE"/>
        </w:rPr>
        <w:t xml:space="preserve">) und für </w:t>
      </w:r>
      <w:r w:rsidR="00FD2769" w:rsidRPr="00CE76D8">
        <w:rPr>
          <w:color w:val="000000"/>
          <w:sz w:val="22"/>
          <w:szCs w:val="22"/>
          <w:lang w:eastAsia="de-DE"/>
        </w:rPr>
        <w:t>Wohnungs</w:t>
      </w:r>
      <w:r w:rsidR="00AD7760">
        <w:rPr>
          <w:color w:val="000000"/>
          <w:sz w:val="22"/>
          <w:szCs w:val="22"/>
          <w:lang w:eastAsia="de-DE"/>
        </w:rPr>
        <w:t>neu</w:t>
      </w:r>
      <w:r w:rsidR="00FD2769" w:rsidRPr="00CE76D8">
        <w:rPr>
          <w:color w:val="000000"/>
          <w:sz w:val="22"/>
          <w:szCs w:val="22"/>
          <w:lang w:eastAsia="de-DE"/>
        </w:rPr>
        <w:t xml:space="preserve">bauten in der </w:t>
      </w:r>
      <w:proofErr w:type="spellStart"/>
      <w:r w:rsidR="00FD2769" w:rsidRPr="00CE76D8">
        <w:rPr>
          <w:color w:val="000000"/>
          <w:sz w:val="22"/>
          <w:szCs w:val="22"/>
          <w:lang w:eastAsia="de-DE"/>
        </w:rPr>
        <w:t>Poppenweiler</w:t>
      </w:r>
      <w:proofErr w:type="spellEnd"/>
      <w:r w:rsidR="00FD2769" w:rsidRPr="00CE76D8">
        <w:rPr>
          <w:color w:val="000000"/>
          <w:sz w:val="22"/>
          <w:szCs w:val="22"/>
          <w:lang w:eastAsia="de-DE"/>
        </w:rPr>
        <w:t xml:space="preserve"> Straße (Stamm</w:t>
      </w:r>
      <w:r w:rsidR="00AD7760">
        <w:rPr>
          <w:color w:val="000000"/>
          <w:sz w:val="22"/>
          <w:szCs w:val="22"/>
          <w:lang w:eastAsia="de-DE"/>
        </w:rPr>
        <w:t xml:space="preserve">heim) waren </w:t>
      </w:r>
      <w:r w:rsidR="00FD2769" w:rsidRPr="00CE76D8">
        <w:rPr>
          <w:color w:val="000000"/>
          <w:sz w:val="22"/>
          <w:szCs w:val="22"/>
          <w:lang w:eastAsia="de-DE"/>
        </w:rPr>
        <w:t xml:space="preserve">Kanäle </w:t>
      </w:r>
      <w:r w:rsidR="00AD7760">
        <w:rPr>
          <w:color w:val="000000"/>
          <w:sz w:val="22"/>
          <w:szCs w:val="22"/>
          <w:lang w:eastAsia="de-DE"/>
        </w:rPr>
        <w:t>neu zu verlegen</w:t>
      </w:r>
      <w:r w:rsidR="00FD2769" w:rsidRPr="00CE76D8">
        <w:rPr>
          <w:color w:val="000000"/>
          <w:sz w:val="22"/>
          <w:szCs w:val="22"/>
          <w:lang w:eastAsia="de-DE"/>
        </w:rPr>
        <w:t xml:space="preserve">. </w:t>
      </w:r>
      <w:r w:rsidR="00AD7760">
        <w:rPr>
          <w:color w:val="000000"/>
          <w:sz w:val="22"/>
          <w:szCs w:val="22"/>
          <w:lang w:eastAsia="de-DE"/>
        </w:rPr>
        <w:t>I</w:t>
      </w:r>
      <w:r w:rsidR="00CB16D9" w:rsidRPr="00CE76D8">
        <w:rPr>
          <w:color w:val="000000"/>
          <w:sz w:val="22"/>
          <w:szCs w:val="22"/>
          <w:lang w:eastAsia="de-DE"/>
        </w:rPr>
        <w:t>n</w:t>
      </w:r>
      <w:r w:rsidR="00FD2769" w:rsidRPr="00CE76D8">
        <w:rPr>
          <w:color w:val="000000"/>
          <w:sz w:val="22"/>
          <w:szCs w:val="22"/>
          <w:lang w:eastAsia="de-DE"/>
        </w:rPr>
        <w:t xml:space="preserve"> Sonnenberg </w:t>
      </w:r>
      <w:r w:rsidR="00AD7760">
        <w:rPr>
          <w:color w:val="000000"/>
          <w:sz w:val="22"/>
          <w:szCs w:val="22"/>
          <w:lang w:eastAsia="de-DE"/>
        </w:rPr>
        <w:t xml:space="preserve">konnte </w:t>
      </w:r>
      <w:r w:rsidR="00FD2769" w:rsidRPr="00CE76D8">
        <w:rPr>
          <w:color w:val="000000"/>
          <w:sz w:val="22"/>
          <w:szCs w:val="22"/>
          <w:lang w:eastAsia="de-DE"/>
        </w:rPr>
        <w:t>mit den Arbeite</w:t>
      </w:r>
      <w:r w:rsidR="006320ED">
        <w:rPr>
          <w:color w:val="000000"/>
          <w:sz w:val="22"/>
          <w:szCs w:val="22"/>
          <w:lang w:eastAsia="de-DE"/>
        </w:rPr>
        <w:t xml:space="preserve">n in der Abraham-Wolf-Straße </w:t>
      </w:r>
      <w:r w:rsidR="00FD2769" w:rsidRPr="00CE76D8">
        <w:rPr>
          <w:color w:val="000000"/>
          <w:sz w:val="22"/>
          <w:szCs w:val="22"/>
          <w:lang w:eastAsia="de-DE"/>
        </w:rPr>
        <w:t>und in Giebel am Schild</w:t>
      </w:r>
      <w:r w:rsidR="00CB16D9" w:rsidRPr="00CE76D8">
        <w:rPr>
          <w:color w:val="000000"/>
          <w:sz w:val="22"/>
          <w:szCs w:val="22"/>
          <w:lang w:eastAsia="de-DE"/>
        </w:rPr>
        <w:t>kröten-/</w:t>
      </w:r>
      <w:proofErr w:type="spellStart"/>
      <w:r w:rsidR="00FD2769" w:rsidRPr="00CE76D8">
        <w:rPr>
          <w:color w:val="000000"/>
          <w:sz w:val="22"/>
          <w:szCs w:val="22"/>
          <w:lang w:eastAsia="de-DE"/>
        </w:rPr>
        <w:t>Molchweg</w:t>
      </w:r>
      <w:proofErr w:type="spellEnd"/>
      <w:r w:rsidR="00FD2769" w:rsidRPr="00CE76D8">
        <w:rPr>
          <w:color w:val="000000"/>
          <w:sz w:val="22"/>
          <w:szCs w:val="22"/>
          <w:lang w:eastAsia="de-DE"/>
        </w:rPr>
        <w:t xml:space="preserve"> begonnen wer</w:t>
      </w:r>
      <w:r w:rsidR="00CB16D9" w:rsidRPr="00CE76D8">
        <w:rPr>
          <w:color w:val="000000"/>
          <w:sz w:val="22"/>
          <w:szCs w:val="22"/>
          <w:lang w:eastAsia="de-DE"/>
        </w:rPr>
        <w:t>den.</w:t>
      </w:r>
      <w:r w:rsidR="00CE76D8" w:rsidRPr="00CE76D8">
        <w:rPr>
          <w:b/>
          <w:bCs/>
          <w:color w:val="000000"/>
          <w:sz w:val="22"/>
          <w:szCs w:val="22"/>
          <w:lang w:eastAsia="de-DE"/>
        </w:rPr>
        <w:t xml:space="preserve"> </w:t>
      </w:r>
    </w:p>
    <w:p w:rsidR="00FD2769" w:rsidRPr="00AD7760" w:rsidRDefault="00FD2769" w:rsidP="00FD2769">
      <w:pPr>
        <w:autoSpaceDE w:val="0"/>
        <w:autoSpaceDN w:val="0"/>
        <w:adjustRightInd w:val="0"/>
        <w:jc w:val="both"/>
        <w:rPr>
          <w:bCs/>
          <w:color w:val="000000"/>
          <w:sz w:val="22"/>
          <w:szCs w:val="22"/>
          <w:lang w:eastAsia="de-DE"/>
        </w:rPr>
      </w:pPr>
      <w:r w:rsidRPr="00CE76D8">
        <w:rPr>
          <w:color w:val="000000"/>
          <w:sz w:val="22"/>
          <w:szCs w:val="22"/>
          <w:lang w:eastAsia="de-DE"/>
        </w:rPr>
        <w:t xml:space="preserve">Zur Verbesserung der Regenwasserbehandlung im Stuttgarter Stadtgebiet </w:t>
      </w:r>
      <w:r w:rsidR="00CE76D8">
        <w:rPr>
          <w:color w:val="000000"/>
          <w:sz w:val="22"/>
          <w:szCs w:val="22"/>
          <w:lang w:eastAsia="de-DE"/>
        </w:rPr>
        <w:t>wurde mit dem</w:t>
      </w:r>
      <w:r w:rsidR="00CB16D9" w:rsidRPr="00CE76D8">
        <w:rPr>
          <w:color w:val="000000"/>
          <w:sz w:val="22"/>
          <w:szCs w:val="22"/>
          <w:lang w:eastAsia="de-DE"/>
        </w:rPr>
        <w:t xml:space="preserve"> der Bau</w:t>
      </w:r>
      <w:r w:rsidRPr="00CE76D8">
        <w:rPr>
          <w:color w:val="000000"/>
          <w:sz w:val="22"/>
          <w:szCs w:val="22"/>
          <w:lang w:eastAsia="de-DE"/>
        </w:rPr>
        <w:t xml:space="preserve"> des Regenüberlaufbeckens </w:t>
      </w:r>
      <w:proofErr w:type="spellStart"/>
      <w:r w:rsidRPr="00CE76D8">
        <w:rPr>
          <w:color w:val="000000"/>
          <w:sz w:val="22"/>
          <w:szCs w:val="22"/>
          <w:lang w:eastAsia="de-DE"/>
        </w:rPr>
        <w:t>Paracelsusstraße</w:t>
      </w:r>
      <w:proofErr w:type="spellEnd"/>
      <w:r w:rsidRPr="00CE76D8">
        <w:rPr>
          <w:color w:val="000000"/>
          <w:sz w:val="22"/>
          <w:szCs w:val="22"/>
          <w:lang w:eastAsia="de-DE"/>
        </w:rPr>
        <w:t xml:space="preserve"> in </w:t>
      </w:r>
      <w:proofErr w:type="spellStart"/>
      <w:r w:rsidRPr="00CE76D8">
        <w:rPr>
          <w:color w:val="000000"/>
          <w:sz w:val="22"/>
          <w:szCs w:val="22"/>
          <w:lang w:eastAsia="de-DE"/>
        </w:rPr>
        <w:t>Plieningen</w:t>
      </w:r>
      <w:proofErr w:type="spellEnd"/>
      <w:r w:rsidRPr="00CE76D8">
        <w:rPr>
          <w:color w:val="000000"/>
          <w:sz w:val="22"/>
          <w:szCs w:val="22"/>
          <w:lang w:eastAsia="de-DE"/>
        </w:rPr>
        <w:t xml:space="preserve"> und des Regenüberlau</w:t>
      </w:r>
      <w:r w:rsidRPr="00CE76D8">
        <w:rPr>
          <w:color w:val="000000"/>
          <w:sz w:val="22"/>
          <w:szCs w:val="22"/>
          <w:lang w:eastAsia="de-DE"/>
        </w:rPr>
        <w:t>f</w:t>
      </w:r>
      <w:r w:rsidRPr="00CE76D8">
        <w:rPr>
          <w:color w:val="000000"/>
          <w:sz w:val="22"/>
          <w:szCs w:val="22"/>
          <w:lang w:eastAsia="de-DE"/>
        </w:rPr>
        <w:t>kanals Hohlgrabe</w:t>
      </w:r>
      <w:r w:rsidR="00CB16D9" w:rsidRPr="00CE76D8">
        <w:rPr>
          <w:color w:val="000000"/>
          <w:sz w:val="22"/>
          <w:szCs w:val="22"/>
          <w:lang w:eastAsia="de-DE"/>
        </w:rPr>
        <w:t>n in Zuffenhausen/Rot</w:t>
      </w:r>
      <w:r w:rsidR="00CE76D8">
        <w:rPr>
          <w:color w:val="000000"/>
          <w:sz w:val="22"/>
          <w:szCs w:val="22"/>
          <w:lang w:eastAsia="de-DE"/>
        </w:rPr>
        <w:t xml:space="preserve"> begonnen</w:t>
      </w:r>
      <w:r w:rsidRPr="00CE76D8">
        <w:rPr>
          <w:color w:val="000000"/>
          <w:sz w:val="22"/>
          <w:szCs w:val="22"/>
          <w:lang w:eastAsia="de-DE"/>
        </w:rPr>
        <w:t xml:space="preserve">. </w:t>
      </w:r>
      <w:r w:rsidR="00CB16D9" w:rsidRPr="00CE76D8">
        <w:rPr>
          <w:color w:val="000000"/>
          <w:sz w:val="22"/>
          <w:szCs w:val="22"/>
          <w:lang w:eastAsia="de-DE"/>
        </w:rPr>
        <w:t>D</w:t>
      </w:r>
      <w:r w:rsidRPr="00CE76D8">
        <w:rPr>
          <w:color w:val="000000"/>
          <w:sz w:val="22"/>
          <w:szCs w:val="22"/>
          <w:lang w:eastAsia="de-DE"/>
        </w:rPr>
        <w:t>ie Arbeiten für die Herstellung der R</w:t>
      </w:r>
      <w:r w:rsidRPr="00CE76D8">
        <w:rPr>
          <w:color w:val="000000"/>
          <w:sz w:val="22"/>
          <w:szCs w:val="22"/>
          <w:lang w:eastAsia="de-DE"/>
        </w:rPr>
        <w:t>e</w:t>
      </w:r>
      <w:r w:rsidRPr="00CE76D8">
        <w:rPr>
          <w:color w:val="000000"/>
          <w:sz w:val="22"/>
          <w:szCs w:val="22"/>
          <w:lang w:eastAsia="de-DE"/>
        </w:rPr>
        <w:t xml:space="preserve">genüberlaufbecken Bachschule und Regenüberlaufkanal </w:t>
      </w:r>
      <w:proofErr w:type="spellStart"/>
      <w:r w:rsidRPr="00CE76D8">
        <w:rPr>
          <w:color w:val="000000"/>
          <w:sz w:val="22"/>
          <w:szCs w:val="22"/>
          <w:lang w:eastAsia="de-DE"/>
        </w:rPr>
        <w:t>Borsigstraße</w:t>
      </w:r>
      <w:proofErr w:type="spellEnd"/>
      <w:r w:rsidRPr="00CE76D8">
        <w:rPr>
          <w:color w:val="000000"/>
          <w:sz w:val="22"/>
          <w:szCs w:val="22"/>
          <w:lang w:eastAsia="de-DE"/>
        </w:rPr>
        <w:t xml:space="preserve"> </w:t>
      </w:r>
      <w:r w:rsidR="00F83982" w:rsidRPr="00CE76D8">
        <w:rPr>
          <w:color w:val="000000"/>
          <w:sz w:val="22"/>
          <w:szCs w:val="22"/>
          <w:lang w:eastAsia="de-DE"/>
        </w:rPr>
        <w:t xml:space="preserve">wurden </w:t>
      </w:r>
      <w:r w:rsidR="00CE76D8">
        <w:rPr>
          <w:color w:val="000000"/>
          <w:sz w:val="22"/>
          <w:szCs w:val="22"/>
          <w:lang w:eastAsia="de-DE"/>
        </w:rPr>
        <w:t>weiter</w:t>
      </w:r>
      <w:r w:rsidR="00F83982" w:rsidRPr="00CE76D8">
        <w:rPr>
          <w:color w:val="000000"/>
          <w:sz w:val="22"/>
          <w:szCs w:val="22"/>
          <w:lang w:eastAsia="de-DE"/>
        </w:rPr>
        <w:t xml:space="preserve"> </w:t>
      </w:r>
      <w:r w:rsidRPr="00CE76D8">
        <w:rPr>
          <w:color w:val="000000"/>
          <w:sz w:val="22"/>
          <w:szCs w:val="22"/>
          <w:lang w:eastAsia="de-DE"/>
        </w:rPr>
        <w:t>fortg</w:t>
      </w:r>
      <w:r w:rsidRPr="00CE76D8">
        <w:rPr>
          <w:color w:val="000000"/>
          <w:sz w:val="22"/>
          <w:szCs w:val="22"/>
          <w:lang w:eastAsia="de-DE"/>
        </w:rPr>
        <w:t>e</w:t>
      </w:r>
      <w:r w:rsidR="00F83982" w:rsidRPr="00CE76D8">
        <w:rPr>
          <w:color w:val="000000"/>
          <w:sz w:val="22"/>
          <w:szCs w:val="22"/>
          <w:lang w:eastAsia="de-DE"/>
        </w:rPr>
        <w:t>führt</w:t>
      </w:r>
      <w:r w:rsidRPr="00CE76D8">
        <w:rPr>
          <w:color w:val="000000"/>
          <w:sz w:val="22"/>
          <w:szCs w:val="22"/>
          <w:lang w:eastAsia="de-DE"/>
        </w:rPr>
        <w:t xml:space="preserve">. </w:t>
      </w:r>
      <w:r w:rsidR="00CE76D8">
        <w:rPr>
          <w:color w:val="000000"/>
          <w:sz w:val="22"/>
          <w:szCs w:val="22"/>
          <w:lang w:eastAsia="de-DE"/>
        </w:rPr>
        <w:t xml:space="preserve">Parallel hierzu werden weitere </w:t>
      </w:r>
      <w:r w:rsidRPr="00CE76D8">
        <w:rPr>
          <w:color w:val="000000"/>
          <w:sz w:val="22"/>
          <w:szCs w:val="22"/>
          <w:lang w:eastAsia="de-DE"/>
        </w:rPr>
        <w:t xml:space="preserve">Planungen für den Neubau </w:t>
      </w:r>
      <w:r w:rsidR="00CE76D8">
        <w:rPr>
          <w:color w:val="000000"/>
          <w:sz w:val="22"/>
          <w:szCs w:val="22"/>
          <w:lang w:eastAsia="de-DE"/>
        </w:rPr>
        <w:t>von</w:t>
      </w:r>
      <w:r w:rsidRPr="00CE76D8">
        <w:rPr>
          <w:color w:val="000000"/>
          <w:sz w:val="22"/>
          <w:szCs w:val="22"/>
          <w:lang w:eastAsia="de-DE"/>
        </w:rPr>
        <w:t xml:space="preserve"> </w:t>
      </w:r>
      <w:r w:rsidR="00CE76D8">
        <w:rPr>
          <w:color w:val="000000"/>
          <w:sz w:val="22"/>
          <w:szCs w:val="22"/>
          <w:lang w:eastAsia="de-DE"/>
        </w:rPr>
        <w:t xml:space="preserve">notwendigen </w:t>
      </w:r>
      <w:r w:rsidRPr="00CE76D8">
        <w:rPr>
          <w:color w:val="000000"/>
          <w:sz w:val="22"/>
          <w:szCs w:val="22"/>
          <w:lang w:eastAsia="de-DE"/>
        </w:rPr>
        <w:t>Sonde</w:t>
      </w:r>
      <w:r w:rsidRPr="00CE76D8">
        <w:rPr>
          <w:color w:val="000000"/>
          <w:sz w:val="22"/>
          <w:szCs w:val="22"/>
          <w:lang w:eastAsia="de-DE"/>
        </w:rPr>
        <w:t>r</w:t>
      </w:r>
      <w:r w:rsidRPr="00CE76D8">
        <w:rPr>
          <w:color w:val="000000"/>
          <w:sz w:val="22"/>
          <w:szCs w:val="22"/>
          <w:lang w:eastAsia="de-DE"/>
        </w:rPr>
        <w:t>bauwerke</w:t>
      </w:r>
      <w:r w:rsidR="00CE76D8">
        <w:rPr>
          <w:color w:val="000000"/>
          <w:sz w:val="22"/>
          <w:szCs w:val="22"/>
          <w:lang w:eastAsia="de-DE"/>
        </w:rPr>
        <w:t>n</w:t>
      </w:r>
      <w:r w:rsidRPr="00CE76D8">
        <w:rPr>
          <w:color w:val="000000"/>
          <w:sz w:val="22"/>
          <w:szCs w:val="22"/>
          <w:lang w:eastAsia="de-DE"/>
        </w:rPr>
        <w:t xml:space="preserve"> sowie die Sanierung älterer Becken </w:t>
      </w:r>
      <w:r w:rsidR="00CE76D8">
        <w:rPr>
          <w:color w:val="000000"/>
          <w:sz w:val="22"/>
          <w:szCs w:val="22"/>
          <w:lang w:eastAsia="de-DE"/>
        </w:rPr>
        <w:t>vorangetrieben.</w:t>
      </w:r>
      <w:r w:rsidRPr="00CE76D8">
        <w:rPr>
          <w:color w:val="000000"/>
          <w:sz w:val="22"/>
          <w:szCs w:val="22"/>
          <w:lang w:eastAsia="de-DE"/>
        </w:rPr>
        <w:t xml:space="preserve"> </w:t>
      </w:r>
    </w:p>
    <w:p w:rsidR="004A4D3C" w:rsidRDefault="004A4D3C" w:rsidP="005A3712">
      <w:pPr>
        <w:pStyle w:val="Textkrper"/>
        <w:rPr>
          <w:b w:val="0"/>
          <w:sz w:val="22"/>
          <w:szCs w:val="22"/>
          <w:highlight w:val="yellow"/>
        </w:rPr>
      </w:pPr>
    </w:p>
    <w:p w:rsidR="0023744B" w:rsidRPr="00B21626" w:rsidRDefault="0023744B" w:rsidP="005A3712">
      <w:pPr>
        <w:pStyle w:val="Textkrper"/>
        <w:rPr>
          <w:b w:val="0"/>
          <w:sz w:val="22"/>
          <w:szCs w:val="22"/>
          <w:highlight w:val="yellow"/>
        </w:rPr>
      </w:pPr>
    </w:p>
    <w:p w:rsidR="001C16FC" w:rsidRPr="00324C51" w:rsidRDefault="00D6390F" w:rsidP="00591C89">
      <w:pPr>
        <w:pStyle w:val="berschrift5"/>
        <w:rPr>
          <w:caps/>
        </w:rPr>
      </w:pPr>
      <w:r w:rsidRPr="00324C51">
        <w:rPr>
          <w:caps/>
        </w:rPr>
        <w:t>Projekte im Bereich</w:t>
      </w:r>
      <w:r w:rsidR="005B05E4" w:rsidRPr="00324C51">
        <w:rPr>
          <w:caps/>
        </w:rPr>
        <w:t xml:space="preserve"> </w:t>
      </w:r>
      <w:r w:rsidR="00591C89" w:rsidRPr="00324C51">
        <w:rPr>
          <w:caps/>
        </w:rPr>
        <w:t>Zentrallabor</w:t>
      </w:r>
    </w:p>
    <w:p w:rsidR="00591C89" w:rsidRPr="00FA5D66" w:rsidRDefault="00553FDA" w:rsidP="00B52F91">
      <w:pPr>
        <w:pStyle w:val="Textkrper"/>
        <w:rPr>
          <w:b w:val="0"/>
          <w:bCs w:val="0"/>
          <w:color w:val="000000"/>
          <w:sz w:val="22"/>
          <w:szCs w:val="22"/>
          <w:lang w:eastAsia="de-DE"/>
        </w:rPr>
      </w:pPr>
      <w:r>
        <w:rPr>
          <w:b w:val="0"/>
          <w:bCs w:val="0"/>
          <w:color w:val="000000"/>
          <w:sz w:val="22"/>
          <w:szCs w:val="22"/>
          <w:lang w:eastAsia="de-DE"/>
        </w:rPr>
        <w:t>A</w:t>
      </w:r>
      <w:r w:rsidR="00324C51" w:rsidRPr="00324C51">
        <w:rPr>
          <w:b w:val="0"/>
          <w:bCs w:val="0"/>
          <w:color w:val="000000"/>
          <w:sz w:val="22"/>
          <w:szCs w:val="22"/>
          <w:lang w:eastAsia="de-DE"/>
        </w:rPr>
        <w:t xml:space="preserve">nalytisch und gerätetechnisch </w:t>
      </w:r>
      <w:r>
        <w:rPr>
          <w:b w:val="0"/>
          <w:bCs w:val="0"/>
          <w:color w:val="000000"/>
          <w:sz w:val="22"/>
          <w:szCs w:val="22"/>
          <w:lang w:eastAsia="de-DE"/>
        </w:rPr>
        <w:t xml:space="preserve">stand das Laborjahr 2012 </w:t>
      </w:r>
      <w:r w:rsidR="00324C51" w:rsidRPr="00324C51">
        <w:rPr>
          <w:b w:val="0"/>
          <w:bCs w:val="0"/>
          <w:color w:val="000000"/>
          <w:sz w:val="22"/>
          <w:szCs w:val="22"/>
          <w:lang w:eastAsia="de-DE"/>
        </w:rPr>
        <w:t xml:space="preserve">ganz im Zeichen des </w:t>
      </w:r>
      <w:proofErr w:type="spellStart"/>
      <w:r w:rsidR="00324C51" w:rsidRPr="00324C51">
        <w:rPr>
          <w:b w:val="0"/>
          <w:bCs w:val="0"/>
          <w:color w:val="000000"/>
          <w:sz w:val="22"/>
          <w:szCs w:val="22"/>
          <w:lang w:eastAsia="de-DE"/>
        </w:rPr>
        <w:t>Körschprojekts</w:t>
      </w:r>
      <w:proofErr w:type="spellEnd"/>
      <w:r w:rsidR="00324C51" w:rsidRPr="00324C51">
        <w:rPr>
          <w:b w:val="0"/>
          <w:bCs w:val="0"/>
          <w:color w:val="000000"/>
          <w:sz w:val="22"/>
          <w:szCs w:val="22"/>
          <w:lang w:eastAsia="de-DE"/>
        </w:rPr>
        <w:t xml:space="preserve"> II, einer Studie zur Verminderung des Eintrags von Spurenstoffen aus dem Abwassersystem in die </w:t>
      </w:r>
      <w:proofErr w:type="spellStart"/>
      <w:r w:rsidR="00324C51" w:rsidRPr="00324C51">
        <w:rPr>
          <w:b w:val="0"/>
          <w:bCs w:val="0"/>
          <w:color w:val="000000"/>
          <w:sz w:val="22"/>
          <w:szCs w:val="22"/>
          <w:lang w:eastAsia="de-DE"/>
        </w:rPr>
        <w:t>Körsch</w:t>
      </w:r>
      <w:proofErr w:type="spellEnd"/>
      <w:r w:rsidR="00324C51" w:rsidRPr="00324C51">
        <w:rPr>
          <w:b w:val="0"/>
          <w:bCs w:val="0"/>
          <w:color w:val="000000"/>
          <w:sz w:val="22"/>
          <w:szCs w:val="22"/>
          <w:lang w:eastAsia="de-DE"/>
        </w:rPr>
        <w:t xml:space="preserve">. Zur Modellkalibrierung der Klärwerke Möhringen und </w:t>
      </w:r>
      <w:proofErr w:type="spellStart"/>
      <w:r w:rsidR="00324C51" w:rsidRPr="00324C51">
        <w:rPr>
          <w:b w:val="0"/>
          <w:bCs w:val="0"/>
          <w:color w:val="000000"/>
          <w:sz w:val="22"/>
          <w:szCs w:val="22"/>
          <w:lang w:eastAsia="de-DE"/>
        </w:rPr>
        <w:t>Plieningen</w:t>
      </w:r>
      <w:proofErr w:type="spellEnd"/>
      <w:r w:rsidR="00324C51" w:rsidRPr="00324C51">
        <w:rPr>
          <w:b w:val="0"/>
          <w:bCs w:val="0"/>
          <w:color w:val="000000"/>
          <w:sz w:val="22"/>
          <w:szCs w:val="22"/>
          <w:lang w:eastAsia="de-DE"/>
        </w:rPr>
        <w:t xml:space="preserve"> wurden im Oktober und November 2012 knapp 1000 Proben auf die klassischen Abwasserparameter untersucht und durch das Ingenieurbüro IAT ausgewertet. Auf der Ger</w:t>
      </w:r>
      <w:r w:rsidR="00324C51" w:rsidRPr="00324C51">
        <w:rPr>
          <w:b w:val="0"/>
          <w:bCs w:val="0"/>
          <w:color w:val="000000"/>
          <w:sz w:val="22"/>
          <w:szCs w:val="22"/>
          <w:lang w:eastAsia="de-DE"/>
        </w:rPr>
        <w:t>ä</w:t>
      </w:r>
      <w:r w:rsidR="00324C51" w:rsidRPr="00324C51">
        <w:rPr>
          <w:b w:val="0"/>
          <w:bCs w:val="0"/>
          <w:color w:val="000000"/>
          <w:sz w:val="22"/>
          <w:szCs w:val="22"/>
          <w:lang w:eastAsia="de-DE"/>
        </w:rPr>
        <w:t>teseite ermöglichte das Projekt dem SES-Zentrallabor den Einstieg in die organische Sp</w:t>
      </w:r>
      <w:r w:rsidR="00324C51" w:rsidRPr="00324C51">
        <w:rPr>
          <w:b w:val="0"/>
          <w:bCs w:val="0"/>
          <w:color w:val="000000"/>
          <w:sz w:val="22"/>
          <w:szCs w:val="22"/>
          <w:lang w:eastAsia="de-DE"/>
        </w:rPr>
        <w:t>u</w:t>
      </w:r>
      <w:r w:rsidR="00324C51" w:rsidRPr="00324C51">
        <w:rPr>
          <w:b w:val="0"/>
          <w:bCs w:val="0"/>
          <w:color w:val="000000"/>
          <w:sz w:val="22"/>
          <w:szCs w:val="22"/>
          <w:lang w:eastAsia="de-DE"/>
        </w:rPr>
        <w:t xml:space="preserve">renstoffanalytik mittels Flüssigkeitschromatographie gekoppelt mit der </w:t>
      </w:r>
      <w:proofErr w:type="spellStart"/>
      <w:r w:rsidR="00324C51" w:rsidRPr="00324C51">
        <w:rPr>
          <w:b w:val="0"/>
          <w:bCs w:val="0"/>
          <w:color w:val="000000"/>
          <w:sz w:val="22"/>
          <w:szCs w:val="22"/>
          <w:lang w:eastAsia="de-DE"/>
        </w:rPr>
        <w:t>Massenspektrometrie</w:t>
      </w:r>
      <w:proofErr w:type="spellEnd"/>
      <w:r w:rsidR="00324C51" w:rsidRPr="00324C51">
        <w:rPr>
          <w:b w:val="0"/>
          <w:bCs w:val="0"/>
          <w:color w:val="000000"/>
          <w:sz w:val="22"/>
          <w:szCs w:val="22"/>
          <w:lang w:eastAsia="de-DE"/>
        </w:rPr>
        <w:t xml:space="preserve">. Mit den ersten Spurenstoff-Untersuchungen in der </w:t>
      </w:r>
      <w:proofErr w:type="spellStart"/>
      <w:r w:rsidR="00324C51" w:rsidRPr="00324C51">
        <w:rPr>
          <w:b w:val="0"/>
          <w:bCs w:val="0"/>
          <w:color w:val="000000"/>
          <w:sz w:val="22"/>
          <w:szCs w:val="22"/>
          <w:lang w:eastAsia="de-DE"/>
        </w:rPr>
        <w:t>Körsch</w:t>
      </w:r>
      <w:proofErr w:type="spellEnd"/>
      <w:r w:rsidR="00324C51" w:rsidRPr="00324C51">
        <w:rPr>
          <w:b w:val="0"/>
          <w:bCs w:val="0"/>
          <w:color w:val="000000"/>
          <w:sz w:val="22"/>
          <w:szCs w:val="22"/>
          <w:lang w:eastAsia="de-DE"/>
        </w:rPr>
        <w:t xml:space="preserve"> und den beiden genannten Klä</w:t>
      </w:r>
      <w:r w:rsidR="00324C51" w:rsidRPr="00324C51">
        <w:rPr>
          <w:b w:val="0"/>
          <w:bCs w:val="0"/>
          <w:color w:val="000000"/>
          <w:sz w:val="22"/>
          <w:szCs w:val="22"/>
          <w:lang w:eastAsia="de-DE"/>
        </w:rPr>
        <w:t>r</w:t>
      </w:r>
      <w:r w:rsidR="00324C51" w:rsidRPr="00324C51">
        <w:rPr>
          <w:b w:val="0"/>
          <w:bCs w:val="0"/>
          <w:color w:val="000000"/>
          <w:sz w:val="22"/>
          <w:szCs w:val="22"/>
          <w:lang w:eastAsia="de-DE"/>
        </w:rPr>
        <w:t>werken soll im Mai 2013 be</w:t>
      </w:r>
      <w:r>
        <w:rPr>
          <w:b w:val="0"/>
          <w:bCs w:val="0"/>
          <w:color w:val="000000"/>
          <w:sz w:val="22"/>
          <w:szCs w:val="22"/>
          <w:lang w:eastAsia="de-DE"/>
        </w:rPr>
        <w:t>gonnen werden. Die</w:t>
      </w:r>
      <w:r w:rsidR="00324C51" w:rsidRPr="00324C51">
        <w:rPr>
          <w:b w:val="0"/>
          <w:bCs w:val="0"/>
          <w:color w:val="000000"/>
          <w:sz w:val="22"/>
          <w:szCs w:val="22"/>
          <w:lang w:eastAsia="de-DE"/>
        </w:rPr>
        <w:t xml:space="preserve"> Geräteinvestition macht im Hinblick auf die </w:t>
      </w:r>
      <w:r>
        <w:rPr>
          <w:b w:val="0"/>
          <w:bCs w:val="0"/>
          <w:color w:val="000000"/>
          <w:sz w:val="22"/>
          <w:szCs w:val="22"/>
          <w:lang w:eastAsia="de-DE"/>
        </w:rPr>
        <w:t xml:space="preserve">geplante </w:t>
      </w:r>
      <w:r w:rsidR="00324C51" w:rsidRPr="00324C51">
        <w:rPr>
          <w:b w:val="0"/>
          <w:bCs w:val="0"/>
          <w:color w:val="000000"/>
          <w:sz w:val="22"/>
          <w:szCs w:val="22"/>
          <w:lang w:eastAsia="de-DE"/>
        </w:rPr>
        <w:t>Nachrüstung einer Aktivkohlestufe im Hauptklärwerk Mühlhausen S</w:t>
      </w:r>
      <w:r>
        <w:rPr>
          <w:b w:val="0"/>
          <w:bCs w:val="0"/>
          <w:color w:val="000000"/>
          <w:sz w:val="22"/>
          <w:szCs w:val="22"/>
          <w:lang w:eastAsia="de-DE"/>
        </w:rPr>
        <w:t xml:space="preserve">inn. Speziell </w:t>
      </w:r>
      <w:r w:rsidR="00324C51" w:rsidRPr="00324C51">
        <w:rPr>
          <w:b w:val="0"/>
          <w:bCs w:val="0"/>
          <w:color w:val="000000"/>
          <w:sz w:val="22"/>
          <w:szCs w:val="22"/>
          <w:lang w:eastAsia="de-DE"/>
        </w:rPr>
        <w:t>bei der Auswahl von Referenzsubstanzen, die die Leistungsfähigkeit der Anlage zur Spurenstoff-Elimination beschreiben sollen. Ferner wurde im Laborgebäude die zentrale Anlage zur Pr</w:t>
      </w:r>
      <w:r w:rsidR="00324C51" w:rsidRPr="00324C51">
        <w:rPr>
          <w:b w:val="0"/>
          <w:bCs w:val="0"/>
          <w:color w:val="000000"/>
          <w:sz w:val="22"/>
          <w:szCs w:val="22"/>
          <w:lang w:eastAsia="de-DE"/>
        </w:rPr>
        <w:t>o</w:t>
      </w:r>
      <w:r w:rsidR="00324C51" w:rsidRPr="00324C51">
        <w:rPr>
          <w:b w:val="0"/>
          <w:bCs w:val="0"/>
          <w:color w:val="000000"/>
          <w:sz w:val="22"/>
          <w:szCs w:val="22"/>
          <w:lang w:eastAsia="de-DE"/>
        </w:rPr>
        <w:t xml:space="preserve">duktion von </w:t>
      </w:r>
      <w:proofErr w:type="spellStart"/>
      <w:r w:rsidR="00324C51" w:rsidRPr="00324C51">
        <w:rPr>
          <w:b w:val="0"/>
          <w:bCs w:val="0"/>
          <w:color w:val="000000"/>
          <w:sz w:val="22"/>
          <w:szCs w:val="22"/>
          <w:lang w:eastAsia="de-DE"/>
        </w:rPr>
        <w:t>entmineralisiertem</w:t>
      </w:r>
      <w:proofErr w:type="spellEnd"/>
      <w:r w:rsidR="00324C51" w:rsidRPr="00324C51">
        <w:rPr>
          <w:b w:val="0"/>
          <w:bCs w:val="0"/>
          <w:color w:val="000000"/>
          <w:sz w:val="22"/>
          <w:szCs w:val="22"/>
          <w:lang w:eastAsia="de-DE"/>
        </w:rPr>
        <w:t xml:space="preserve"> Wasser mittels Umkehrosmose er</w:t>
      </w:r>
      <w:r>
        <w:rPr>
          <w:b w:val="0"/>
          <w:bCs w:val="0"/>
          <w:color w:val="000000"/>
          <w:sz w:val="22"/>
          <w:szCs w:val="22"/>
          <w:lang w:eastAsia="de-DE"/>
        </w:rPr>
        <w:t xml:space="preserve">neuert. </w:t>
      </w:r>
      <w:r w:rsidR="00324C51" w:rsidRPr="00324C51">
        <w:rPr>
          <w:b w:val="0"/>
          <w:bCs w:val="0"/>
          <w:color w:val="000000"/>
          <w:sz w:val="22"/>
          <w:szCs w:val="22"/>
          <w:lang w:eastAsia="de-DE"/>
        </w:rPr>
        <w:t>Insgesamt war 2012 für das Zentrallabor ein Rekordjahr, mit einer Steigerung der Probenzahl gegenüber 2011 um über 10 %.</w:t>
      </w:r>
    </w:p>
    <w:p w:rsidR="004A4D3C" w:rsidRDefault="004A4D3C">
      <w:pPr>
        <w:pStyle w:val="Textkrper"/>
        <w:rPr>
          <w:b w:val="0"/>
          <w:sz w:val="22"/>
        </w:rPr>
      </w:pPr>
    </w:p>
    <w:p w:rsidR="00AD7760" w:rsidRDefault="00AD7760">
      <w:pPr>
        <w:pStyle w:val="Textkrper"/>
        <w:rPr>
          <w:b w:val="0"/>
          <w:sz w:val="22"/>
        </w:rPr>
      </w:pPr>
    </w:p>
    <w:p w:rsidR="001D0011" w:rsidRPr="00C44342" w:rsidRDefault="00BC5A3B" w:rsidP="00C44342">
      <w:pPr>
        <w:pStyle w:val="berschrift5"/>
        <w:rPr>
          <w:caps/>
        </w:rPr>
      </w:pPr>
      <w:r w:rsidRPr="005107E0">
        <w:rPr>
          <w:caps/>
        </w:rPr>
        <w:t>Sonstige Wichtige Vorgänge des Wirtschaftsjahres</w:t>
      </w:r>
    </w:p>
    <w:p w:rsidR="00225E22" w:rsidRDefault="00225E22" w:rsidP="00E36682">
      <w:pPr>
        <w:pStyle w:val="Textkrper"/>
        <w:rPr>
          <w:b w:val="0"/>
          <w:sz w:val="22"/>
        </w:rPr>
      </w:pPr>
    </w:p>
    <w:p w:rsidR="00D34B7E" w:rsidRDefault="00225E22" w:rsidP="00E36682">
      <w:pPr>
        <w:pStyle w:val="Textkrper"/>
        <w:rPr>
          <w:b w:val="0"/>
          <w:sz w:val="22"/>
        </w:rPr>
      </w:pPr>
      <w:r w:rsidRPr="00225E22">
        <w:rPr>
          <w:noProof/>
          <w:lang w:eastAsia="de-DE"/>
        </w:rPr>
        <w:drawing>
          <wp:inline distT="0" distB="0" distL="0" distR="0">
            <wp:extent cx="6002531" cy="2771775"/>
            <wp:effectExtent l="19050" t="0" r="0" b="0"/>
            <wp:docPr id="450"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6007168" cy="2773916"/>
                    </a:xfrm>
                    <a:prstGeom prst="rect">
                      <a:avLst/>
                    </a:prstGeom>
                    <a:noFill/>
                    <a:ln w="9525">
                      <a:noFill/>
                      <a:miter lim="800000"/>
                      <a:headEnd/>
                      <a:tailEnd/>
                    </a:ln>
                  </pic:spPr>
                </pic:pic>
              </a:graphicData>
            </a:graphic>
          </wp:inline>
        </w:drawing>
      </w:r>
    </w:p>
    <w:p w:rsidR="00D34B7E" w:rsidRDefault="00D34B7E" w:rsidP="00E36682">
      <w:pPr>
        <w:pStyle w:val="Textkrper"/>
        <w:rPr>
          <w:b w:val="0"/>
          <w:sz w:val="22"/>
        </w:rPr>
      </w:pPr>
    </w:p>
    <w:p w:rsidR="00D34B7E" w:rsidRDefault="00D34B7E" w:rsidP="00E36682">
      <w:pPr>
        <w:pStyle w:val="Textkrper"/>
        <w:rPr>
          <w:b w:val="0"/>
          <w:sz w:val="22"/>
        </w:rPr>
      </w:pPr>
    </w:p>
    <w:p w:rsidR="005F577F" w:rsidRPr="00635C90" w:rsidRDefault="005F577F" w:rsidP="005F577F">
      <w:pPr>
        <w:pStyle w:val="Textkrper"/>
        <w:rPr>
          <w:b w:val="0"/>
          <w:sz w:val="22"/>
        </w:rPr>
      </w:pPr>
      <w:r>
        <w:rPr>
          <w:b w:val="0"/>
          <w:sz w:val="22"/>
        </w:rPr>
        <w:t>Im März 2012 fand</w:t>
      </w:r>
      <w:r w:rsidRPr="00635C90">
        <w:rPr>
          <w:b w:val="0"/>
          <w:sz w:val="22"/>
        </w:rPr>
        <w:t xml:space="preserve"> der 5. Strategieworkshop der SES </w:t>
      </w:r>
      <w:r>
        <w:rPr>
          <w:b w:val="0"/>
          <w:sz w:val="22"/>
        </w:rPr>
        <w:t>statt</w:t>
      </w:r>
      <w:r w:rsidRPr="00635C90">
        <w:rPr>
          <w:b w:val="0"/>
          <w:sz w:val="22"/>
        </w:rPr>
        <w:t xml:space="preserve">. </w:t>
      </w:r>
      <w:r>
        <w:rPr>
          <w:b w:val="0"/>
          <w:sz w:val="22"/>
        </w:rPr>
        <w:t>Teilnehmer waren die Führung</w:t>
      </w:r>
      <w:r>
        <w:rPr>
          <w:b w:val="0"/>
          <w:sz w:val="22"/>
        </w:rPr>
        <w:t>s</w:t>
      </w:r>
      <w:r>
        <w:rPr>
          <w:b w:val="0"/>
          <w:sz w:val="22"/>
        </w:rPr>
        <w:t>kräfte der SES</w:t>
      </w:r>
      <w:r w:rsidRPr="00635C90">
        <w:rPr>
          <w:b w:val="0"/>
          <w:sz w:val="22"/>
        </w:rPr>
        <w:t xml:space="preserve"> (Betriebsleitung, Abteilungsleitun</w:t>
      </w:r>
      <w:r>
        <w:rPr>
          <w:b w:val="0"/>
          <w:sz w:val="22"/>
        </w:rPr>
        <w:t xml:space="preserve">gen, </w:t>
      </w:r>
      <w:r w:rsidRPr="00635C90">
        <w:rPr>
          <w:b w:val="0"/>
          <w:sz w:val="22"/>
        </w:rPr>
        <w:t xml:space="preserve">Stellvertreter </w:t>
      </w:r>
      <w:r>
        <w:rPr>
          <w:b w:val="0"/>
          <w:sz w:val="22"/>
        </w:rPr>
        <w:t xml:space="preserve">und </w:t>
      </w:r>
      <w:r w:rsidRPr="00635C90">
        <w:rPr>
          <w:b w:val="0"/>
          <w:sz w:val="22"/>
        </w:rPr>
        <w:t>die Qualitätsman</w:t>
      </w:r>
      <w:r w:rsidRPr="00635C90">
        <w:rPr>
          <w:b w:val="0"/>
          <w:sz w:val="22"/>
        </w:rPr>
        <w:t>a</w:t>
      </w:r>
      <w:r w:rsidRPr="00635C90">
        <w:rPr>
          <w:b w:val="0"/>
          <w:sz w:val="22"/>
        </w:rPr>
        <w:t xml:space="preserve">gementbeauftragte </w:t>
      </w:r>
      <w:r>
        <w:rPr>
          <w:b w:val="0"/>
          <w:sz w:val="22"/>
        </w:rPr>
        <w:t>der SES)</w:t>
      </w:r>
      <w:r w:rsidRPr="00635C90">
        <w:rPr>
          <w:b w:val="0"/>
          <w:sz w:val="22"/>
        </w:rPr>
        <w:t xml:space="preserve">. Mit </w:t>
      </w:r>
      <w:r>
        <w:rPr>
          <w:b w:val="0"/>
          <w:sz w:val="22"/>
        </w:rPr>
        <w:t>dem</w:t>
      </w:r>
      <w:r w:rsidRPr="00635C90">
        <w:rPr>
          <w:b w:val="0"/>
          <w:sz w:val="22"/>
        </w:rPr>
        <w:t xml:space="preserve"> Strategieworkshops 2012 </w:t>
      </w:r>
      <w:r>
        <w:rPr>
          <w:b w:val="0"/>
          <w:sz w:val="22"/>
        </w:rPr>
        <w:t>wurde</w:t>
      </w:r>
      <w:r w:rsidRPr="00635C90">
        <w:rPr>
          <w:b w:val="0"/>
          <w:sz w:val="22"/>
        </w:rPr>
        <w:t xml:space="preserve"> der Zieleprozess der SES weiter </w:t>
      </w:r>
      <w:r>
        <w:rPr>
          <w:b w:val="0"/>
          <w:sz w:val="22"/>
        </w:rPr>
        <w:t>aktualisiert</w:t>
      </w:r>
      <w:r w:rsidRPr="00635C90">
        <w:rPr>
          <w:b w:val="0"/>
          <w:sz w:val="22"/>
        </w:rPr>
        <w:t xml:space="preserve"> (vgl. </w:t>
      </w:r>
      <w:r>
        <w:rPr>
          <w:b w:val="0"/>
          <w:sz w:val="22"/>
        </w:rPr>
        <w:t xml:space="preserve">Abbildung der </w:t>
      </w:r>
      <w:r w:rsidRPr="00635C90">
        <w:rPr>
          <w:b w:val="0"/>
          <w:sz w:val="22"/>
        </w:rPr>
        <w:t>zusammengefasste</w:t>
      </w:r>
      <w:r>
        <w:rPr>
          <w:b w:val="0"/>
          <w:sz w:val="22"/>
        </w:rPr>
        <w:t>n SES-</w:t>
      </w:r>
      <w:r w:rsidRPr="00635C90">
        <w:rPr>
          <w:b w:val="0"/>
          <w:sz w:val="22"/>
        </w:rPr>
        <w:t>Str</w:t>
      </w:r>
      <w:r>
        <w:rPr>
          <w:b w:val="0"/>
          <w:sz w:val="22"/>
        </w:rPr>
        <w:t>ategielandkarte 2012</w:t>
      </w:r>
      <w:r w:rsidRPr="00635C90">
        <w:rPr>
          <w:b w:val="0"/>
          <w:sz w:val="22"/>
        </w:rPr>
        <w:t>).</w:t>
      </w:r>
    </w:p>
    <w:p w:rsidR="005F577F" w:rsidRDefault="005F577F" w:rsidP="005F577F">
      <w:pPr>
        <w:pStyle w:val="Textkrper"/>
        <w:rPr>
          <w:b w:val="0"/>
          <w:sz w:val="22"/>
        </w:rPr>
      </w:pPr>
      <w:r w:rsidRPr="0023744B">
        <w:rPr>
          <w:b w:val="0"/>
          <w:sz w:val="22"/>
        </w:rPr>
        <w:lastRenderedPageBreak/>
        <w:t>Im September 2012 kam es infolge eines Stromausfalls im Hauptklärwerk Mühlhausen zu einer Überflutung von Teilbereichen. Die Schäden der Überflutung im Untergeschoss der Sandfanganlage Mühlhausen konnten bis auf die Lüftungsanlage und die Elektrotechnik bi</w:t>
      </w:r>
      <w:r w:rsidRPr="0023744B">
        <w:rPr>
          <w:b w:val="0"/>
          <w:sz w:val="22"/>
        </w:rPr>
        <w:t>s</w:t>
      </w:r>
      <w:r w:rsidRPr="0023744B">
        <w:rPr>
          <w:b w:val="0"/>
          <w:sz w:val="22"/>
        </w:rPr>
        <w:t>her weitgehend behoben werden. Zunächst hatte die Gebäudeversicherung den Schaden</w:t>
      </w:r>
      <w:r w:rsidRPr="0023744B">
        <w:rPr>
          <w:b w:val="0"/>
          <w:sz w:val="22"/>
        </w:rPr>
        <w:t>s</w:t>
      </w:r>
      <w:r w:rsidRPr="0023744B">
        <w:rPr>
          <w:b w:val="0"/>
          <w:sz w:val="22"/>
        </w:rPr>
        <w:t>fall abgelehnt. Wegen den besonderen Versicherungsbedingungen und Vereinbarungen im Sinne der Stadt konnte die Ablehnung jedoch abgewendet werden. Der weitere Rechnung</w:t>
      </w:r>
      <w:r w:rsidRPr="0023744B">
        <w:rPr>
          <w:b w:val="0"/>
          <w:sz w:val="22"/>
        </w:rPr>
        <w:t>s</w:t>
      </w:r>
      <w:r w:rsidRPr="0023744B">
        <w:rPr>
          <w:b w:val="0"/>
          <w:sz w:val="22"/>
        </w:rPr>
        <w:t>abgleich ist aktuell noch abzuwarten.</w:t>
      </w:r>
    </w:p>
    <w:p w:rsidR="00F37F70" w:rsidRDefault="001D0011" w:rsidP="00E36682">
      <w:pPr>
        <w:pStyle w:val="Textkrper"/>
        <w:rPr>
          <w:b w:val="0"/>
          <w:sz w:val="22"/>
        </w:rPr>
      </w:pPr>
      <w:r>
        <w:rPr>
          <w:b w:val="0"/>
          <w:sz w:val="22"/>
        </w:rPr>
        <w:t>Am 8. November 2012 wurde der Jahresabschluss 2011</w:t>
      </w:r>
      <w:r w:rsidR="00F37F70">
        <w:rPr>
          <w:b w:val="0"/>
          <w:sz w:val="22"/>
        </w:rPr>
        <w:t xml:space="preserve"> der SES im Gemeinderat der La</w:t>
      </w:r>
      <w:r w:rsidR="00F37F70">
        <w:rPr>
          <w:b w:val="0"/>
          <w:sz w:val="22"/>
        </w:rPr>
        <w:t>n</w:t>
      </w:r>
      <w:r w:rsidR="00F37F70">
        <w:rPr>
          <w:b w:val="0"/>
          <w:sz w:val="22"/>
        </w:rPr>
        <w:t>dehauptstadt Stuttgart beschlossen</w:t>
      </w:r>
      <w:r>
        <w:rPr>
          <w:b w:val="0"/>
          <w:sz w:val="22"/>
        </w:rPr>
        <w:t xml:space="preserve"> (</w:t>
      </w:r>
      <w:proofErr w:type="spellStart"/>
      <w:r>
        <w:rPr>
          <w:b w:val="0"/>
          <w:sz w:val="22"/>
        </w:rPr>
        <w:t>GRDrs</w:t>
      </w:r>
      <w:proofErr w:type="spellEnd"/>
      <w:r>
        <w:rPr>
          <w:b w:val="0"/>
          <w:sz w:val="22"/>
        </w:rPr>
        <w:t xml:space="preserve"> 785/2012</w:t>
      </w:r>
      <w:r w:rsidR="008F264F">
        <w:rPr>
          <w:b w:val="0"/>
          <w:sz w:val="22"/>
        </w:rPr>
        <w:t>)</w:t>
      </w:r>
      <w:r w:rsidR="00F37F70">
        <w:rPr>
          <w:b w:val="0"/>
          <w:sz w:val="22"/>
        </w:rPr>
        <w:t xml:space="preserve">. </w:t>
      </w:r>
      <w:r w:rsidR="00B907E3">
        <w:rPr>
          <w:b w:val="0"/>
          <w:sz w:val="22"/>
        </w:rPr>
        <w:t>Die Betriebsleitung wurde für das Wirt</w:t>
      </w:r>
      <w:r>
        <w:rPr>
          <w:b w:val="0"/>
          <w:sz w:val="22"/>
        </w:rPr>
        <w:t>schaftsjahr 2011</w:t>
      </w:r>
      <w:r w:rsidR="00B907E3">
        <w:rPr>
          <w:b w:val="0"/>
          <w:sz w:val="22"/>
        </w:rPr>
        <w:t xml:space="preserve"> entlastet. </w:t>
      </w:r>
      <w:r w:rsidR="00F37F70">
        <w:rPr>
          <w:b w:val="0"/>
          <w:sz w:val="22"/>
        </w:rPr>
        <w:t>Das Ja</w:t>
      </w:r>
      <w:r>
        <w:rPr>
          <w:b w:val="0"/>
          <w:sz w:val="22"/>
        </w:rPr>
        <w:t>hresergebnis in Höhe von 4,50</w:t>
      </w:r>
      <w:r w:rsidR="00F37F70">
        <w:rPr>
          <w:b w:val="0"/>
          <w:sz w:val="22"/>
        </w:rPr>
        <w:t xml:space="preserve"> Mio. EUR wurde en</w:t>
      </w:r>
      <w:r w:rsidR="00F37F70">
        <w:rPr>
          <w:b w:val="0"/>
          <w:sz w:val="22"/>
        </w:rPr>
        <w:t>t</w:t>
      </w:r>
      <w:r w:rsidR="00F37F70">
        <w:rPr>
          <w:b w:val="0"/>
          <w:sz w:val="22"/>
        </w:rPr>
        <w:t xml:space="preserve">sprechend der Beschlussvorlage in die Allgemeine Rücklage </w:t>
      </w:r>
      <w:r w:rsidR="005F577F">
        <w:rPr>
          <w:b w:val="0"/>
          <w:sz w:val="22"/>
        </w:rPr>
        <w:t>übertragen</w:t>
      </w:r>
      <w:r w:rsidR="00F37F70">
        <w:rPr>
          <w:b w:val="0"/>
          <w:sz w:val="22"/>
        </w:rPr>
        <w:t>.</w:t>
      </w:r>
      <w:r w:rsidR="00B907E3">
        <w:rPr>
          <w:b w:val="0"/>
          <w:sz w:val="22"/>
        </w:rPr>
        <w:t xml:space="preserve"> In einer Mitte</w:t>
      </w:r>
      <w:r w:rsidR="00B907E3">
        <w:rPr>
          <w:b w:val="0"/>
          <w:sz w:val="22"/>
        </w:rPr>
        <w:t>i</w:t>
      </w:r>
      <w:r w:rsidR="00B907E3">
        <w:rPr>
          <w:b w:val="0"/>
          <w:sz w:val="22"/>
        </w:rPr>
        <w:t>lungsvorlage (</w:t>
      </w:r>
      <w:proofErr w:type="spellStart"/>
      <w:r w:rsidR="00B907E3">
        <w:rPr>
          <w:b w:val="0"/>
          <w:sz w:val="22"/>
        </w:rPr>
        <w:t>GRDrs</w:t>
      </w:r>
      <w:proofErr w:type="spellEnd"/>
      <w:r w:rsidR="00B907E3">
        <w:rPr>
          <w:b w:val="0"/>
          <w:sz w:val="22"/>
        </w:rPr>
        <w:t xml:space="preserve"> 158/2012) wurde der Betriebsausschuss Stadtentwässerung über die Beantwortung der</w:t>
      </w:r>
      <w:r w:rsidR="00B95F4E">
        <w:rPr>
          <w:b w:val="0"/>
          <w:sz w:val="22"/>
        </w:rPr>
        <w:t xml:space="preserve"> Prüfungsfeststellungen zur örtlichen Prüfung </w:t>
      </w:r>
      <w:r>
        <w:rPr>
          <w:b w:val="0"/>
          <w:sz w:val="22"/>
        </w:rPr>
        <w:t xml:space="preserve">2010 </w:t>
      </w:r>
      <w:r w:rsidR="00B95F4E">
        <w:rPr>
          <w:b w:val="0"/>
          <w:sz w:val="22"/>
        </w:rPr>
        <w:t>des Rechnungspr</w:t>
      </w:r>
      <w:r w:rsidR="00B95F4E">
        <w:rPr>
          <w:b w:val="0"/>
          <w:sz w:val="22"/>
        </w:rPr>
        <w:t>ü</w:t>
      </w:r>
      <w:r w:rsidR="00B95F4E">
        <w:rPr>
          <w:b w:val="0"/>
          <w:sz w:val="22"/>
        </w:rPr>
        <w:t>fungsam</w:t>
      </w:r>
      <w:r w:rsidR="00B907E3">
        <w:rPr>
          <w:b w:val="0"/>
          <w:sz w:val="22"/>
        </w:rPr>
        <w:t>tes informiert.</w:t>
      </w:r>
    </w:p>
    <w:p w:rsidR="00171E60" w:rsidRDefault="00171E60" w:rsidP="00E36682">
      <w:pPr>
        <w:pStyle w:val="Textkrper"/>
        <w:rPr>
          <w:b w:val="0"/>
          <w:sz w:val="22"/>
        </w:rPr>
      </w:pPr>
      <w:r>
        <w:rPr>
          <w:b w:val="0"/>
          <w:sz w:val="22"/>
        </w:rPr>
        <w:t>A</w:t>
      </w:r>
      <w:r w:rsidRPr="00171E60">
        <w:rPr>
          <w:b w:val="0"/>
          <w:sz w:val="22"/>
        </w:rPr>
        <w:t xml:space="preserve">m 21. Oktober 2012 </w:t>
      </w:r>
      <w:r>
        <w:rPr>
          <w:b w:val="0"/>
          <w:sz w:val="22"/>
        </w:rPr>
        <w:t xml:space="preserve">wurde Herr Fritz Kuhn </w:t>
      </w:r>
      <w:r w:rsidRPr="00171E60">
        <w:rPr>
          <w:b w:val="0"/>
          <w:sz w:val="22"/>
        </w:rPr>
        <w:t>für acht Jahre zum Oberbürgermeister der La</w:t>
      </w:r>
      <w:r w:rsidRPr="00171E60">
        <w:rPr>
          <w:b w:val="0"/>
          <w:sz w:val="22"/>
        </w:rPr>
        <w:t>n</w:t>
      </w:r>
      <w:r w:rsidRPr="00171E60">
        <w:rPr>
          <w:b w:val="0"/>
          <w:sz w:val="22"/>
        </w:rPr>
        <w:t>deshauptstadt Stuttgart gewählt.</w:t>
      </w:r>
      <w:r>
        <w:rPr>
          <w:b w:val="0"/>
          <w:sz w:val="22"/>
        </w:rPr>
        <w:t xml:space="preserve"> </w:t>
      </w:r>
    </w:p>
    <w:p w:rsidR="0023744B" w:rsidRDefault="0023744B" w:rsidP="00635C90">
      <w:pPr>
        <w:pStyle w:val="Textkrper"/>
        <w:rPr>
          <w:b w:val="0"/>
          <w:sz w:val="22"/>
        </w:rPr>
      </w:pPr>
    </w:p>
    <w:p w:rsidR="00046A78" w:rsidRDefault="00046A78" w:rsidP="00E36682">
      <w:pPr>
        <w:pStyle w:val="Textkrper"/>
        <w:rPr>
          <w:b w:val="0"/>
          <w:sz w:val="22"/>
        </w:rPr>
      </w:pPr>
    </w:p>
    <w:p w:rsidR="001C16FC" w:rsidRPr="005107E0" w:rsidRDefault="001C16FC" w:rsidP="001C16FC">
      <w:pPr>
        <w:rPr>
          <w:b/>
          <w:caps/>
          <w:sz w:val="22"/>
          <w:szCs w:val="22"/>
        </w:rPr>
      </w:pPr>
      <w:r w:rsidRPr="005107E0">
        <w:rPr>
          <w:b/>
          <w:caps/>
          <w:sz w:val="22"/>
          <w:szCs w:val="22"/>
        </w:rPr>
        <w:t>NACHTRAGSBERICHT</w:t>
      </w:r>
    </w:p>
    <w:p w:rsidR="0024723A" w:rsidRPr="00171E60" w:rsidRDefault="001C16FC" w:rsidP="0024723A">
      <w:pPr>
        <w:jc w:val="both"/>
        <w:rPr>
          <w:sz w:val="22"/>
          <w:szCs w:val="22"/>
        </w:rPr>
      </w:pPr>
      <w:r w:rsidRPr="00171E60">
        <w:rPr>
          <w:sz w:val="22"/>
          <w:szCs w:val="22"/>
        </w:rPr>
        <w:t xml:space="preserve">In der Zeit nach dem </w:t>
      </w:r>
      <w:r w:rsidR="0024723A" w:rsidRPr="00171E60">
        <w:rPr>
          <w:sz w:val="22"/>
          <w:szCs w:val="22"/>
        </w:rPr>
        <w:t>Bilanzstichtag (Stand 31.12.2012</w:t>
      </w:r>
      <w:r w:rsidRPr="00171E60">
        <w:rPr>
          <w:sz w:val="22"/>
          <w:szCs w:val="22"/>
        </w:rPr>
        <w:t>) sind folgende wesentliche Ereignisse zu verzeichnen:</w:t>
      </w:r>
    </w:p>
    <w:p w:rsidR="00171E60" w:rsidRPr="00171E60" w:rsidRDefault="00171E60" w:rsidP="001C16FC">
      <w:pPr>
        <w:numPr>
          <w:ilvl w:val="0"/>
          <w:numId w:val="4"/>
        </w:numPr>
        <w:jc w:val="both"/>
        <w:rPr>
          <w:sz w:val="22"/>
          <w:szCs w:val="22"/>
        </w:rPr>
      </w:pPr>
      <w:r w:rsidRPr="00171E60">
        <w:rPr>
          <w:sz w:val="22"/>
          <w:szCs w:val="22"/>
        </w:rPr>
        <w:t>Herr Prof. Dr. Wolfgang Schuster wurde am 5. Januar 2013 nach 16 Jahren Amtszeit als Oberbürgermeister der Stadt Stuttgart feierlich verabschiedet.</w:t>
      </w:r>
    </w:p>
    <w:p w:rsidR="00171E60" w:rsidRPr="00171E60" w:rsidRDefault="00171E60" w:rsidP="001C16FC">
      <w:pPr>
        <w:numPr>
          <w:ilvl w:val="0"/>
          <w:numId w:val="4"/>
        </w:numPr>
        <w:jc w:val="both"/>
        <w:rPr>
          <w:sz w:val="22"/>
          <w:szCs w:val="22"/>
        </w:rPr>
      </w:pPr>
      <w:r w:rsidRPr="00171E60">
        <w:rPr>
          <w:sz w:val="22"/>
          <w:szCs w:val="22"/>
        </w:rPr>
        <w:t>Herr Oberbürgermeister Kuhn trat sein Amt am 7. Januar 2013 an.</w:t>
      </w:r>
    </w:p>
    <w:p w:rsidR="001C16FC" w:rsidRPr="0024723A" w:rsidRDefault="001C16FC" w:rsidP="001C16FC">
      <w:pPr>
        <w:numPr>
          <w:ilvl w:val="0"/>
          <w:numId w:val="4"/>
        </w:numPr>
        <w:jc w:val="both"/>
        <w:rPr>
          <w:sz w:val="22"/>
        </w:rPr>
      </w:pPr>
      <w:r w:rsidRPr="00171E60">
        <w:rPr>
          <w:sz w:val="22"/>
          <w:szCs w:val="22"/>
        </w:rPr>
        <w:t>Seit</w:t>
      </w:r>
      <w:r w:rsidR="00067AA7" w:rsidRPr="00171E60">
        <w:rPr>
          <w:sz w:val="22"/>
          <w:szCs w:val="22"/>
        </w:rPr>
        <w:t xml:space="preserve"> Januar 2013</w:t>
      </w:r>
      <w:r w:rsidRPr="00171E60">
        <w:rPr>
          <w:sz w:val="22"/>
          <w:szCs w:val="22"/>
        </w:rPr>
        <w:t xml:space="preserve"> beträgt die Höhe des Schmutzwasserentgelts </w:t>
      </w:r>
      <w:r w:rsidR="0024723A" w:rsidRPr="00171E60">
        <w:rPr>
          <w:sz w:val="22"/>
          <w:szCs w:val="22"/>
        </w:rPr>
        <w:t xml:space="preserve">unverändert </w:t>
      </w:r>
      <w:r w:rsidRPr="00171E60">
        <w:rPr>
          <w:sz w:val="22"/>
          <w:szCs w:val="22"/>
        </w:rPr>
        <w:t>1</w:t>
      </w:r>
      <w:r w:rsidR="0090067B" w:rsidRPr="00171E60">
        <w:rPr>
          <w:sz w:val="22"/>
          <w:szCs w:val="22"/>
        </w:rPr>
        <w:t>,6</w:t>
      </w:r>
      <w:r w:rsidR="00F37F70" w:rsidRPr="00171E60">
        <w:rPr>
          <w:sz w:val="22"/>
          <w:szCs w:val="22"/>
        </w:rPr>
        <w:t>2</w:t>
      </w:r>
      <w:r w:rsidR="0024723A">
        <w:rPr>
          <w:sz w:val="22"/>
        </w:rPr>
        <w:t xml:space="preserve"> EUR/m³. Die </w:t>
      </w:r>
      <w:r w:rsidRPr="00F8427C">
        <w:rPr>
          <w:sz w:val="22"/>
        </w:rPr>
        <w:t xml:space="preserve">Niederschlagswassergebühr </w:t>
      </w:r>
      <w:r w:rsidR="0024723A">
        <w:rPr>
          <w:sz w:val="22"/>
        </w:rPr>
        <w:t>wurde zum 1. Januar 2013 auf 0,61</w:t>
      </w:r>
      <w:r w:rsidRPr="00F8427C">
        <w:rPr>
          <w:sz w:val="22"/>
        </w:rPr>
        <w:t xml:space="preserve"> EUR/m²</w:t>
      </w:r>
      <w:r w:rsidR="0090067B">
        <w:rPr>
          <w:sz w:val="22"/>
        </w:rPr>
        <w:t xml:space="preserve"> </w:t>
      </w:r>
      <w:r w:rsidR="0024723A">
        <w:rPr>
          <w:sz w:val="22"/>
        </w:rPr>
        <w:t>angehoben (</w:t>
      </w:r>
      <w:proofErr w:type="spellStart"/>
      <w:r w:rsidR="0024723A">
        <w:rPr>
          <w:sz w:val="22"/>
        </w:rPr>
        <w:t>GRDrs</w:t>
      </w:r>
      <w:proofErr w:type="spellEnd"/>
      <w:r w:rsidR="0024723A">
        <w:rPr>
          <w:sz w:val="22"/>
        </w:rPr>
        <w:t xml:space="preserve"> 890/2012</w:t>
      </w:r>
      <w:r w:rsidR="0090067B" w:rsidRPr="0090067B">
        <w:rPr>
          <w:sz w:val="22"/>
        </w:rPr>
        <w:t>)</w:t>
      </w:r>
      <w:r w:rsidRPr="0090067B">
        <w:t>.</w:t>
      </w:r>
    </w:p>
    <w:p w:rsidR="0024723A" w:rsidRPr="00067AA7" w:rsidRDefault="0024723A" w:rsidP="001C16FC">
      <w:pPr>
        <w:numPr>
          <w:ilvl w:val="0"/>
          <w:numId w:val="4"/>
        </w:numPr>
        <w:jc w:val="both"/>
        <w:rPr>
          <w:sz w:val="22"/>
          <w:szCs w:val="22"/>
        </w:rPr>
      </w:pPr>
      <w:r w:rsidRPr="00067AA7">
        <w:rPr>
          <w:sz w:val="22"/>
          <w:szCs w:val="22"/>
        </w:rPr>
        <w:t>Am 12. März 2013 wurde der Betriebsausschuss Stadtentwässerung mit einer Mitte</w:t>
      </w:r>
      <w:r w:rsidRPr="00067AA7">
        <w:rPr>
          <w:sz w:val="22"/>
          <w:szCs w:val="22"/>
        </w:rPr>
        <w:t>i</w:t>
      </w:r>
      <w:r w:rsidRPr="00067AA7">
        <w:rPr>
          <w:sz w:val="22"/>
          <w:szCs w:val="22"/>
        </w:rPr>
        <w:t>lungsvorlage (</w:t>
      </w:r>
      <w:proofErr w:type="spellStart"/>
      <w:r w:rsidRPr="00067AA7">
        <w:rPr>
          <w:sz w:val="22"/>
          <w:szCs w:val="22"/>
        </w:rPr>
        <w:t>GRDrs</w:t>
      </w:r>
      <w:proofErr w:type="spellEnd"/>
      <w:r w:rsidRPr="00067AA7">
        <w:rPr>
          <w:sz w:val="22"/>
          <w:szCs w:val="22"/>
        </w:rPr>
        <w:t xml:space="preserve"> 151/2013) über die Beantwortung der Prüfungsfeststellungen des Rechnungsprüfungsamtes zum Jahresabschluss 2011 informiert.</w:t>
      </w:r>
    </w:p>
    <w:p w:rsidR="00F72A79" w:rsidRPr="001F75A0" w:rsidRDefault="001F75A0" w:rsidP="00F72A79">
      <w:pPr>
        <w:numPr>
          <w:ilvl w:val="0"/>
          <w:numId w:val="4"/>
        </w:numPr>
        <w:jc w:val="both"/>
        <w:rPr>
          <w:sz w:val="22"/>
          <w:szCs w:val="22"/>
        </w:rPr>
      </w:pPr>
      <w:r>
        <w:rPr>
          <w:sz w:val="22"/>
          <w:szCs w:val="22"/>
        </w:rPr>
        <w:t>Im</w:t>
      </w:r>
      <w:r w:rsidR="00F64C18" w:rsidRPr="001F75A0">
        <w:rPr>
          <w:sz w:val="22"/>
          <w:szCs w:val="22"/>
        </w:rPr>
        <w:t xml:space="preserve"> Mai 2013</w:t>
      </w:r>
      <w:r w:rsidR="00F72A79" w:rsidRPr="001F75A0">
        <w:rPr>
          <w:sz w:val="22"/>
          <w:szCs w:val="22"/>
        </w:rPr>
        <w:t xml:space="preserve"> wurde der</w:t>
      </w:r>
      <w:r w:rsidR="008876D9" w:rsidRPr="001F75A0">
        <w:rPr>
          <w:sz w:val="22"/>
          <w:szCs w:val="22"/>
        </w:rPr>
        <w:t xml:space="preserve"> Bericht zum ersten Quartal 2013</w:t>
      </w:r>
      <w:r w:rsidR="00F72A79" w:rsidRPr="001F75A0">
        <w:rPr>
          <w:sz w:val="22"/>
          <w:szCs w:val="22"/>
        </w:rPr>
        <w:t xml:space="preserve"> erstellt. </w:t>
      </w:r>
      <w:r w:rsidR="00077347" w:rsidRPr="001F75A0">
        <w:rPr>
          <w:sz w:val="22"/>
          <w:szCs w:val="22"/>
        </w:rPr>
        <w:t xml:space="preserve">Der </w:t>
      </w:r>
      <w:r>
        <w:rPr>
          <w:sz w:val="22"/>
          <w:szCs w:val="22"/>
        </w:rPr>
        <w:t>Bericht zeigt, dass für 2013</w:t>
      </w:r>
      <w:r w:rsidR="00077347" w:rsidRPr="001F75A0">
        <w:rPr>
          <w:sz w:val="22"/>
          <w:szCs w:val="22"/>
        </w:rPr>
        <w:t xml:space="preserve"> </w:t>
      </w:r>
      <w:r w:rsidR="00C23F40" w:rsidRPr="001F75A0">
        <w:rPr>
          <w:sz w:val="22"/>
          <w:szCs w:val="22"/>
        </w:rPr>
        <w:t>d</w:t>
      </w:r>
      <w:r w:rsidR="00077347" w:rsidRPr="001F75A0">
        <w:rPr>
          <w:sz w:val="22"/>
          <w:szCs w:val="22"/>
        </w:rPr>
        <w:t xml:space="preserve">as geplante Jahresergebnis </w:t>
      </w:r>
      <w:r>
        <w:rPr>
          <w:sz w:val="22"/>
          <w:szCs w:val="22"/>
        </w:rPr>
        <w:t>in Höhe von 6,24</w:t>
      </w:r>
      <w:r w:rsidR="00C23F40" w:rsidRPr="001F75A0">
        <w:rPr>
          <w:sz w:val="22"/>
          <w:szCs w:val="22"/>
        </w:rPr>
        <w:t xml:space="preserve"> Mio. EUR erreicht werden</w:t>
      </w:r>
      <w:r w:rsidR="00077347" w:rsidRPr="001F75A0">
        <w:rPr>
          <w:sz w:val="22"/>
          <w:szCs w:val="22"/>
        </w:rPr>
        <w:t xml:space="preserve"> kann</w:t>
      </w:r>
      <w:r w:rsidR="00C23F40" w:rsidRPr="001F75A0">
        <w:rPr>
          <w:sz w:val="22"/>
          <w:szCs w:val="22"/>
        </w:rPr>
        <w:t xml:space="preserve">. Im Vermögensplan ist die Ausgabenfinanzierung entsprechend sicherzustellen. </w:t>
      </w:r>
      <w:r w:rsidR="00F72A79" w:rsidRPr="001F75A0">
        <w:rPr>
          <w:sz w:val="22"/>
          <w:szCs w:val="22"/>
        </w:rPr>
        <w:t xml:space="preserve">Nach der Sommerpause wird der Betriebsausschuss Stadtentwässerung </w:t>
      </w:r>
      <w:r w:rsidR="00BC57BF" w:rsidRPr="001F75A0">
        <w:rPr>
          <w:sz w:val="22"/>
          <w:szCs w:val="22"/>
        </w:rPr>
        <w:t>im Zwischenbe</w:t>
      </w:r>
      <w:r>
        <w:rPr>
          <w:sz w:val="22"/>
          <w:szCs w:val="22"/>
        </w:rPr>
        <w:t>richt 2013</w:t>
      </w:r>
      <w:r w:rsidR="00BC57BF" w:rsidRPr="001F75A0">
        <w:rPr>
          <w:sz w:val="22"/>
          <w:szCs w:val="22"/>
        </w:rPr>
        <w:t xml:space="preserve"> </w:t>
      </w:r>
      <w:r w:rsidR="00F72A79" w:rsidRPr="001F75A0">
        <w:rPr>
          <w:sz w:val="22"/>
          <w:szCs w:val="22"/>
        </w:rPr>
        <w:t xml:space="preserve">über die weiteren Entwicklungen des Geschäftsjahres </w:t>
      </w:r>
      <w:r w:rsidR="00C118C6" w:rsidRPr="001F75A0">
        <w:rPr>
          <w:sz w:val="22"/>
          <w:szCs w:val="22"/>
        </w:rPr>
        <w:t xml:space="preserve">zeitnah </w:t>
      </w:r>
      <w:r w:rsidR="00F72A79" w:rsidRPr="001F75A0">
        <w:rPr>
          <w:sz w:val="22"/>
          <w:szCs w:val="22"/>
        </w:rPr>
        <w:t>informiert werden.</w:t>
      </w:r>
    </w:p>
    <w:p w:rsidR="00B675E8" w:rsidRDefault="00B675E8" w:rsidP="00B675E8">
      <w:pPr>
        <w:jc w:val="both"/>
        <w:rPr>
          <w:sz w:val="22"/>
          <w:szCs w:val="22"/>
        </w:rPr>
      </w:pPr>
    </w:p>
    <w:p w:rsidR="00B675E8" w:rsidRPr="00BC57BF" w:rsidRDefault="00B675E8" w:rsidP="00B675E8">
      <w:pPr>
        <w:jc w:val="both"/>
        <w:rPr>
          <w:sz w:val="22"/>
          <w:szCs w:val="22"/>
        </w:rPr>
      </w:pPr>
    </w:p>
    <w:p w:rsidR="001C16FC" w:rsidRPr="007C34BF" w:rsidRDefault="001C16FC" w:rsidP="0028040E">
      <w:pPr>
        <w:jc w:val="both"/>
        <w:rPr>
          <w:sz w:val="22"/>
          <w:szCs w:val="22"/>
        </w:rPr>
      </w:pPr>
      <w:r w:rsidRPr="00D146EC">
        <w:rPr>
          <w:b/>
          <w:caps/>
          <w:sz w:val="22"/>
          <w:szCs w:val="22"/>
        </w:rPr>
        <w:t>Risikobericht</w:t>
      </w:r>
      <w:r w:rsidR="007C34BF">
        <w:rPr>
          <w:b/>
          <w:caps/>
          <w:sz w:val="22"/>
          <w:szCs w:val="22"/>
        </w:rPr>
        <w:t xml:space="preserve"> </w:t>
      </w:r>
    </w:p>
    <w:p w:rsidR="001C16FC" w:rsidRPr="005D2D3F" w:rsidRDefault="001C16FC" w:rsidP="001C16FC">
      <w:pPr>
        <w:jc w:val="both"/>
        <w:rPr>
          <w:sz w:val="22"/>
          <w:szCs w:val="22"/>
        </w:rPr>
      </w:pPr>
      <w:r w:rsidRPr="00E82CCD">
        <w:rPr>
          <w:sz w:val="22"/>
          <w:szCs w:val="22"/>
        </w:rPr>
        <w:t>Im Chancen- und Risikomanagementbericht der SES werden die wesentlichen Risiken und Chancen zur operativen Be</w:t>
      </w:r>
      <w:r>
        <w:rPr>
          <w:sz w:val="22"/>
          <w:szCs w:val="22"/>
        </w:rPr>
        <w:t>triebssteuerung</w:t>
      </w:r>
      <w:r w:rsidR="00B30807">
        <w:rPr>
          <w:sz w:val="22"/>
          <w:szCs w:val="22"/>
        </w:rPr>
        <w:t xml:space="preserve"> </w:t>
      </w:r>
      <w:r w:rsidR="002455F2">
        <w:rPr>
          <w:sz w:val="22"/>
          <w:szCs w:val="22"/>
        </w:rPr>
        <w:t xml:space="preserve">unterjährig </w:t>
      </w:r>
      <w:r>
        <w:rPr>
          <w:sz w:val="22"/>
          <w:szCs w:val="22"/>
        </w:rPr>
        <w:t xml:space="preserve">dargestellt und </w:t>
      </w:r>
      <w:r w:rsidRPr="00E82CCD">
        <w:rPr>
          <w:sz w:val="22"/>
          <w:szCs w:val="22"/>
        </w:rPr>
        <w:t>bewer</w:t>
      </w:r>
      <w:r>
        <w:rPr>
          <w:sz w:val="22"/>
          <w:szCs w:val="22"/>
        </w:rPr>
        <w:t>tet.</w:t>
      </w:r>
      <w:r w:rsidR="006E41FC">
        <w:rPr>
          <w:sz w:val="22"/>
          <w:szCs w:val="22"/>
        </w:rPr>
        <w:t xml:space="preserve"> </w:t>
      </w:r>
      <w:r w:rsidRPr="001F3791">
        <w:rPr>
          <w:sz w:val="22"/>
        </w:rPr>
        <w:t xml:space="preserve">Negative Entwicklungen </w:t>
      </w:r>
      <w:r>
        <w:rPr>
          <w:sz w:val="22"/>
        </w:rPr>
        <w:t>können</w:t>
      </w:r>
      <w:r w:rsidRPr="001F3791">
        <w:rPr>
          <w:sz w:val="22"/>
        </w:rPr>
        <w:t xml:space="preserve"> </w:t>
      </w:r>
      <w:r>
        <w:rPr>
          <w:sz w:val="22"/>
        </w:rPr>
        <w:t>dabei rechtzeitig erkannt werden.</w:t>
      </w:r>
      <w:r w:rsidR="005E39E7">
        <w:rPr>
          <w:sz w:val="22"/>
        </w:rPr>
        <w:t xml:space="preserve"> </w:t>
      </w:r>
      <w:r w:rsidRPr="005D2D3F">
        <w:rPr>
          <w:sz w:val="22"/>
          <w:szCs w:val="22"/>
        </w:rPr>
        <w:t xml:space="preserve">In den vierteljährlichen </w:t>
      </w:r>
      <w:r w:rsidR="00F50AEB">
        <w:rPr>
          <w:sz w:val="22"/>
          <w:szCs w:val="22"/>
        </w:rPr>
        <w:t>Chancen- und Risikomanagementberichte</w:t>
      </w:r>
      <w:r w:rsidRPr="005D2D3F">
        <w:rPr>
          <w:sz w:val="22"/>
          <w:szCs w:val="22"/>
        </w:rPr>
        <w:t xml:space="preserve"> </w:t>
      </w:r>
      <w:r w:rsidR="0028040E">
        <w:rPr>
          <w:sz w:val="22"/>
          <w:szCs w:val="22"/>
        </w:rPr>
        <w:t>wurden für 2012</w:t>
      </w:r>
      <w:r w:rsidR="00F50AEB">
        <w:rPr>
          <w:sz w:val="22"/>
          <w:szCs w:val="22"/>
        </w:rPr>
        <w:t xml:space="preserve"> über </w:t>
      </w:r>
      <w:r w:rsidRPr="005D2D3F">
        <w:rPr>
          <w:sz w:val="22"/>
          <w:szCs w:val="22"/>
        </w:rPr>
        <w:t>folgende Entwicklun</w:t>
      </w:r>
      <w:r w:rsidR="00F50AEB">
        <w:rPr>
          <w:sz w:val="22"/>
          <w:szCs w:val="22"/>
        </w:rPr>
        <w:t>gen berichtet:</w:t>
      </w:r>
    </w:p>
    <w:p w:rsidR="001C16FC" w:rsidRPr="005D2D3F" w:rsidRDefault="00476E15" w:rsidP="001C16FC">
      <w:pPr>
        <w:jc w:val="both"/>
        <w:rPr>
          <w:sz w:val="22"/>
          <w:szCs w:val="22"/>
        </w:rPr>
      </w:pPr>
      <w:r>
        <w:rPr>
          <w:noProof/>
          <w:sz w:val="22"/>
          <w:szCs w:val="22"/>
          <w:lang w:eastAsia="de-DE"/>
        </w:rPr>
        <w:lastRenderedPageBreak/>
        <w:drawing>
          <wp:anchor distT="0" distB="0" distL="114300" distR="114300" simplePos="0" relativeHeight="251659264" behindDoc="1" locked="0" layoutInCell="1" allowOverlap="1">
            <wp:simplePos x="0" y="0"/>
            <wp:positionH relativeFrom="column">
              <wp:posOffset>-121920</wp:posOffset>
            </wp:positionH>
            <wp:positionV relativeFrom="paragraph">
              <wp:posOffset>231140</wp:posOffset>
            </wp:positionV>
            <wp:extent cx="6078855" cy="4848225"/>
            <wp:effectExtent l="19050" t="0" r="0" b="0"/>
            <wp:wrapTight wrapText="bothSides">
              <wp:wrapPolygon edited="0">
                <wp:start x="-68" y="0"/>
                <wp:lineTo x="-68" y="21473"/>
                <wp:lineTo x="21593" y="21473"/>
                <wp:lineTo x="21593" y="0"/>
                <wp:lineTo x="-68" y="0"/>
              </wp:wrapPolygon>
            </wp:wrapTight>
            <wp:docPr id="459" name="Bild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0" cstate="print"/>
                    <a:srcRect/>
                    <a:stretch>
                      <a:fillRect/>
                    </a:stretch>
                  </pic:blipFill>
                  <pic:spPr bwMode="auto">
                    <a:xfrm>
                      <a:off x="0" y="0"/>
                      <a:ext cx="6078855" cy="4848225"/>
                    </a:xfrm>
                    <a:prstGeom prst="rect">
                      <a:avLst/>
                    </a:prstGeom>
                    <a:noFill/>
                    <a:ln w="9525">
                      <a:noFill/>
                      <a:miter lim="800000"/>
                      <a:headEnd/>
                      <a:tailEnd/>
                    </a:ln>
                  </pic:spPr>
                </pic:pic>
              </a:graphicData>
            </a:graphic>
          </wp:anchor>
        </w:drawing>
      </w:r>
    </w:p>
    <w:p w:rsidR="001C16FC" w:rsidRDefault="001C16FC" w:rsidP="001C16FC">
      <w:pPr>
        <w:jc w:val="both"/>
        <w:rPr>
          <w:sz w:val="22"/>
          <w:szCs w:val="22"/>
        </w:rPr>
      </w:pPr>
    </w:p>
    <w:p w:rsidR="005E39E7" w:rsidRDefault="005E39E7" w:rsidP="001C16FC">
      <w:pPr>
        <w:jc w:val="both"/>
        <w:rPr>
          <w:sz w:val="22"/>
          <w:szCs w:val="22"/>
        </w:rPr>
      </w:pPr>
    </w:p>
    <w:p w:rsidR="001C16FC" w:rsidRDefault="001C16FC" w:rsidP="001C16FC">
      <w:pPr>
        <w:pStyle w:val="berschrift5"/>
      </w:pPr>
      <w:r>
        <w:t>Entwicklungen in der Branche</w:t>
      </w:r>
    </w:p>
    <w:p w:rsidR="002864DC" w:rsidRDefault="00476E15" w:rsidP="001C16FC">
      <w:pPr>
        <w:pStyle w:val="Textkrper2"/>
      </w:pPr>
      <w:r>
        <w:t>Die</w:t>
      </w:r>
      <w:r w:rsidR="001C16FC">
        <w:t xml:space="preserve"> </w:t>
      </w:r>
      <w:r>
        <w:t>wesentlichen</w:t>
      </w:r>
      <w:r w:rsidR="001C16FC">
        <w:t xml:space="preserve"> Einflussfaktor</w:t>
      </w:r>
      <w:r w:rsidR="00077347">
        <w:t>en</w:t>
      </w:r>
      <w:r w:rsidR="005E39E7">
        <w:t xml:space="preserve"> </w:t>
      </w:r>
      <w:r w:rsidR="001C16FC">
        <w:t xml:space="preserve">für die Höhe der Umsatzerlöse </w:t>
      </w:r>
      <w:proofErr w:type="gramStart"/>
      <w:r>
        <w:t>ist</w:t>
      </w:r>
      <w:proofErr w:type="gramEnd"/>
      <w:r>
        <w:t xml:space="preserve"> </w:t>
      </w:r>
      <w:r w:rsidR="001C16FC">
        <w:t>der Stuttgarte</w:t>
      </w:r>
      <w:r w:rsidR="00B30807">
        <w:t xml:space="preserve">r </w:t>
      </w:r>
      <w:r w:rsidR="00D146EC">
        <w:t>Frisc</w:t>
      </w:r>
      <w:r w:rsidR="00D146EC">
        <w:t>h</w:t>
      </w:r>
      <w:r w:rsidR="00D146EC">
        <w:t>wasserverbrauch</w:t>
      </w:r>
      <w:r w:rsidR="00077347">
        <w:t xml:space="preserve"> und die an das Kanalnetz angeschlossenen Flächen</w:t>
      </w:r>
      <w:r>
        <w:t>. Für 2012</w:t>
      </w:r>
      <w:r w:rsidR="001C16FC">
        <w:t xml:space="preserve"> </w:t>
      </w:r>
      <w:r w:rsidR="00D146EC">
        <w:t xml:space="preserve">ergibt die </w:t>
      </w:r>
      <w:r w:rsidR="00D146EC" w:rsidRPr="002F2844">
        <w:t xml:space="preserve">Hochrechnung </w:t>
      </w:r>
      <w:r w:rsidR="00D146EC" w:rsidRPr="00D146EC">
        <w:t>zum Jahresabschluss</w:t>
      </w:r>
      <w:r w:rsidR="001433E3">
        <w:t xml:space="preserve"> eine</w:t>
      </w:r>
      <w:r w:rsidR="00D146EC">
        <w:t xml:space="preserve"> </w:t>
      </w:r>
      <w:r w:rsidR="002F2844" w:rsidRPr="002F2844">
        <w:rPr>
          <w:u w:val="dotted"/>
        </w:rPr>
        <w:t xml:space="preserve">veranlagungsfähige </w:t>
      </w:r>
      <w:r w:rsidR="00D146EC" w:rsidRPr="002F2844">
        <w:rPr>
          <w:u w:val="dotted"/>
        </w:rPr>
        <w:t>Schmutzwassermen</w:t>
      </w:r>
      <w:r w:rsidR="002F2844" w:rsidRPr="002F2844">
        <w:rPr>
          <w:u w:val="dotted"/>
        </w:rPr>
        <w:t>ge</w:t>
      </w:r>
      <w:r w:rsidR="002F2844">
        <w:t xml:space="preserve"> </w:t>
      </w:r>
      <w:r w:rsidR="00012E28">
        <w:t>mit 35,77</w:t>
      </w:r>
      <w:r>
        <w:t xml:space="preserve"> Mio. m³</w:t>
      </w:r>
      <w:r w:rsidR="001433E3">
        <w:t xml:space="preserve">. Diese liegt leicht unter der Vorjahresmenge </w:t>
      </w:r>
      <w:r>
        <w:t>(Vorjahr 36,27</w:t>
      </w:r>
      <w:r w:rsidR="002F2844">
        <w:t xml:space="preserve"> Mio. m³) </w:t>
      </w:r>
      <w:r w:rsidR="001433E3">
        <w:t xml:space="preserve">aber </w:t>
      </w:r>
      <w:r>
        <w:t>h</w:t>
      </w:r>
      <w:r>
        <w:t>ö</w:t>
      </w:r>
      <w:r>
        <w:t xml:space="preserve">her als </w:t>
      </w:r>
      <w:r w:rsidR="001433E3">
        <w:t xml:space="preserve">ursprünglich </w:t>
      </w:r>
      <w:r>
        <w:t>ge</w:t>
      </w:r>
      <w:r w:rsidR="001433E3">
        <w:t xml:space="preserve">plant. </w:t>
      </w:r>
      <w:r>
        <w:t>D</w:t>
      </w:r>
      <w:r w:rsidR="00D146EC">
        <w:t xml:space="preserve">er gemeldete </w:t>
      </w:r>
      <w:r w:rsidR="00D146EC" w:rsidRPr="00D146EC">
        <w:rPr>
          <w:u w:val="dotted"/>
        </w:rPr>
        <w:t>Frischwasser</w:t>
      </w:r>
      <w:r w:rsidR="00E93430">
        <w:rPr>
          <w:u w:val="dotted"/>
        </w:rPr>
        <w:t>v</w:t>
      </w:r>
      <w:r w:rsidR="001C16FC" w:rsidRPr="00D146EC">
        <w:rPr>
          <w:u w:val="dotted"/>
        </w:rPr>
        <w:t>erbrauch</w:t>
      </w:r>
      <w:r w:rsidR="001C16FC">
        <w:t xml:space="preserve"> </w:t>
      </w:r>
      <w:r w:rsidR="00F72A9F">
        <w:t xml:space="preserve">(Simulationswerte) </w:t>
      </w:r>
      <w:r w:rsidR="001C16FC">
        <w:t>der Industriekunde</w:t>
      </w:r>
      <w:r w:rsidR="00300FEE">
        <w:t xml:space="preserve">n </w:t>
      </w:r>
      <w:r>
        <w:t xml:space="preserve">lag </w:t>
      </w:r>
      <w:r w:rsidR="001433E3">
        <w:t xml:space="preserve">dabei </w:t>
      </w:r>
      <w:r>
        <w:t>stabil bei 9,1 Mio. m³ (Vorjahr 9,1</w:t>
      </w:r>
      <w:r w:rsidR="001C16FC">
        <w:t xml:space="preserve"> Mio. m³) </w:t>
      </w:r>
      <w:r w:rsidR="00681E28">
        <w:t>während</w:t>
      </w:r>
      <w:r w:rsidR="001C16FC">
        <w:t xml:space="preserve"> der Verbrauch der Privatkunden </w:t>
      </w:r>
      <w:r>
        <w:t>mit 27,85</w:t>
      </w:r>
      <w:r w:rsidR="00300FEE">
        <w:t xml:space="preserve"> Mio. m³ (Vor</w:t>
      </w:r>
      <w:r>
        <w:t>jahr 27,30 Mio. m³) leicht über der Vorjahres</w:t>
      </w:r>
      <w:r w:rsidR="00681E28">
        <w:t>progn</w:t>
      </w:r>
      <w:r w:rsidR="00681E28">
        <w:t>o</w:t>
      </w:r>
      <w:r w:rsidR="00681E28">
        <w:t xml:space="preserve">se lag. </w:t>
      </w:r>
      <w:r w:rsidR="001433E3">
        <w:t xml:space="preserve">Die Reduzierung zum Vorjahr lag </w:t>
      </w:r>
      <w:r w:rsidR="001748F5">
        <w:t xml:space="preserve">in 2012 </w:t>
      </w:r>
      <w:r w:rsidR="001433E3">
        <w:t>primär an rückläufigen Grundwasseren</w:t>
      </w:r>
      <w:r w:rsidR="001433E3">
        <w:t>t</w:t>
      </w:r>
      <w:r w:rsidR="001433E3">
        <w:t>nah</w:t>
      </w:r>
      <w:r w:rsidR="001748F5">
        <w:t>men</w:t>
      </w:r>
      <w:r w:rsidR="001433E3">
        <w:t>.</w:t>
      </w:r>
    </w:p>
    <w:p w:rsidR="00E9668E" w:rsidRDefault="00E9668E" w:rsidP="001C16FC">
      <w:pPr>
        <w:pStyle w:val="Textkrper2"/>
      </w:pPr>
    </w:p>
    <w:p w:rsidR="006E41FC" w:rsidRPr="00074FDF" w:rsidRDefault="00E9668E" w:rsidP="006E41FC">
      <w:pPr>
        <w:pStyle w:val="Textkrper2"/>
        <w:jc w:val="center"/>
      </w:pPr>
      <w:r>
        <w:rPr>
          <w:noProof/>
          <w:lang w:eastAsia="de-DE"/>
        </w:rPr>
        <w:drawing>
          <wp:inline distT="0" distB="0" distL="0" distR="0">
            <wp:extent cx="4752975" cy="1837143"/>
            <wp:effectExtent l="19050" t="0" r="9525" b="0"/>
            <wp:docPr id="2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t="4839" b="7258"/>
                    <a:stretch>
                      <a:fillRect/>
                    </a:stretch>
                  </pic:blipFill>
                  <pic:spPr bwMode="auto">
                    <a:xfrm>
                      <a:off x="0" y="0"/>
                      <a:ext cx="4752975" cy="1837143"/>
                    </a:xfrm>
                    <a:prstGeom prst="rect">
                      <a:avLst/>
                    </a:prstGeom>
                    <a:noFill/>
                  </pic:spPr>
                </pic:pic>
              </a:graphicData>
            </a:graphic>
          </wp:inline>
        </w:drawing>
      </w:r>
    </w:p>
    <w:p w:rsidR="001C16FC" w:rsidRDefault="002F2844" w:rsidP="001C16FC">
      <w:pPr>
        <w:pStyle w:val="Textkrper2"/>
      </w:pPr>
      <w:r>
        <w:lastRenderedPageBreak/>
        <w:t>Die Fläche</w:t>
      </w:r>
      <w:r w:rsidR="001C16FC">
        <w:t xml:space="preserve"> zur Berechnung der </w:t>
      </w:r>
      <w:r w:rsidR="001C16FC" w:rsidRPr="00135606">
        <w:rPr>
          <w:u w:val="dotted"/>
        </w:rPr>
        <w:t>Niederschlagswassergebühren</w:t>
      </w:r>
      <w:r w:rsidR="001C16FC">
        <w:t xml:space="preserve"> lag</w:t>
      </w:r>
      <w:r w:rsidR="00E9668E">
        <w:t xml:space="preserve"> in 2012</w:t>
      </w:r>
      <w:r w:rsidR="001C16FC">
        <w:t xml:space="preserve"> </w:t>
      </w:r>
      <w:r>
        <w:t xml:space="preserve">stabil </w:t>
      </w:r>
      <w:r w:rsidR="00E9668E">
        <w:t>bei 31,25 Mio. m² (Vorjahr 31,24</w:t>
      </w:r>
      <w:r w:rsidR="001C16FC">
        <w:t xml:space="preserve"> Mio. m²). </w:t>
      </w:r>
    </w:p>
    <w:p w:rsidR="001C16FC" w:rsidRDefault="001C16FC" w:rsidP="001C16FC">
      <w:pPr>
        <w:pStyle w:val="Textkrper2"/>
      </w:pPr>
      <w:r>
        <w:t xml:space="preserve">Die </w:t>
      </w:r>
      <w:r w:rsidRPr="00135606">
        <w:rPr>
          <w:u w:val="dotted"/>
        </w:rPr>
        <w:t>öffentliche</w:t>
      </w:r>
      <w:r w:rsidR="00135606">
        <w:rPr>
          <w:u w:val="dotted"/>
        </w:rPr>
        <w:t>n</w:t>
      </w:r>
      <w:r w:rsidRPr="00135606">
        <w:rPr>
          <w:u w:val="dotted"/>
        </w:rPr>
        <w:t xml:space="preserve"> Fläche</w:t>
      </w:r>
      <w:r w:rsidR="00135606">
        <w:rPr>
          <w:u w:val="dotted"/>
        </w:rPr>
        <w:t>n</w:t>
      </w:r>
      <w:r w:rsidRPr="00135606">
        <w:rPr>
          <w:u w:val="dotted"/>
        </w:rPr>
        <w:t xml:space="preserve"> für Straßen, Wege und Plätze</w:t>
      </w:r>
      <w:r>
        <w:t xml:space="preserve"> zur Berechnung der Straßenentwä</w:t>
      </w:r>
      <w:r>
        <w:t>s</w:t>
      </w:r>
      <w:r>
        <w:t>se</w:t>
      </w:r>
      <w:r w:rsidR="00E9668E">
        <w:t>rungskosten lag in 2012 weiterhin</w:t>
      </w:r>
      <w:r w:rsidR="00135606">
        <w:t xml:space="preserve"> </w:t>
      </w:r>
      <w:r w:rsidR="005A3324">
        <w:t xml:space="preserve">stabil </w:t>
      </w:r>
      <w:r w:rsidR="00135606">
        <w:t>bei 13,03</w:t>
      </w:r>
      <w:r>
        <w:t xml:space="preserve"> Mio. m² </w:t>
      </w:r>
      <w:r w:rsidR="005A3324">
        <w:t>(Vorjahr 13,03</w:t>
      </w:r>
      <w:r w:rsidR="00135606">
        <w:t xml:space="preserve"> Mio. m²)</w:t>
      </w:r>
      <w:r>
        <w:t>.</w:t>
      </w:r>
    </w:p>
    <w:p w:rsidR="00CE4C65" w:rsidRDefault="00CE4C65" w:rsidP="001C16FC">
      <w:pPr>
        <w:pStyle w:val="Textkrper2"/>
      </w:pPr>
    </w:p>
    <w:p w:rsidR="001C16FC" w:rsidRDefault="001C16FC" w:rsidP="001C16FC">
      <w:pPr>
        <w:pStyle w:val="berschrift5"/>
      </w:pPr>
      <w:r w:rsidRPr="00DA2CFE">
        <w:t>Bereich Finanzen</w:t>
      </w:r>
    </w:p>
    <w:p w:rsidR="00166A74" w:rsidRDefault="00F72A9F" w:rsidP="00775FB9">
      <w:pPr>
        <w:jc w:val="both"/>
        <w:rPr>
          <w:sz w:val="22"/>
          <w:szCs w:val="22"/>
        </w:rPr>
      </w:pPr>
      <w:r>
        <w:rPr>
          <w:sz w:val="22"/>
          <w:szCs w:val="22"/>
        </w:rPr>
        <w:t xml:space="preserve">Die Entwicklung des </w:t>
      </w:r>
      <w:r w:rsidR="001C16FC" w:rsidRPr="00DA2CFE">
        <w:rPr>
          <w:sz w:val="22"/>
          <w:szCs w:val="22"/>
          <w:u w:val="dotted"/>
        </w:rPr>
        <w:t>Zinssatz</w:t>
      </w:r>
      <w:r w:rsidRPr="00DA2CFE">
        <w:rPr>
          <w:sz w:val="22"/>
          <w:szCs w:val="22"/>
          <w:u w:val="dotted"/>
        </w:rPr>
        <w:t>es</w:t>
      </w:r>
      <w:r w:rsidR="001C16FC" w:rsidRPr="001B7DBA">
        <w:rPr>
          <w:sz w:val="22"/>
          <w:szCs w:val="22"/>
        </w:rPr>
        <w:t xml:space="preserve"> für Kommunaldarlehen </w:t>
      </w:r>
      <w:r w:rsidR="001C16FC">
        <w:rPr>
          <w:sz w:val="22"/>
          <w:szCs w:val="22"/>
        </w:rPr>
        <w:t>war</w:t>
      </w:r>
      <w:r w:rsidR="003D7863">
        <w:rPr>
          <w:sz w:val="22"/>
          <w:szCs w:val="22"/>
        </w:rPr>
        <w:t xml:space="preserve"> in 201</w:t>
      </w:r>
      <w:r>
        <w:rPr>
          <w:sz w:val="22"/>
          <w:szCs w:val="22"/>
        </w:rPr>
        <w:t>1</w:t>
      </w:r>
      <w:r w:rsidR="001C16FC" w:rsidRPr="001B7DBA">
        <w:rPr>
          <w:sz w:val="22"/>
          <w:szCs w:val="22"/>
        </w:rPr>
        <w:t xml:space="preserve"> weiterhin </w:t>
      </w:r>
      <w:r>
        <w:rPr>
          <w:sz w:val="22"/>
          <w:szCs w:val="22"/>
        </w:rPr>
        <w:t>positiv</w:t>
      </w:r>
      <w:r w:rsidR="001C16FC" w:rsidRPr="001B7DBA">
        <w:rPr>
          <w:sz w:val="22"/>
          <w:szCs w:val="22"/>
        </w:rPr>
        <w:t xml:space="preserve">. </w:t>
      </w:r>
      <w:r w:rsidR="00996CF0">
        <w:rPr>
          <w:sz w:val="22"/>
          <w:szCs w:val="22"/>
        </w:rPr>
        <w:t>Das Darlehensvolumen in Höhe von 34,18 Mio. EUR wurde vollständig ausgeschöpft. Dabei war d</w:t>
      </w:r>
      <w:r w:rsidR="001C16FC" w:rsidRPr="001B7DBA">
        <w:rPr>
          <w:sz w:val="22"/>
          <w:szCs w:val="22"/>
        </w:rPr>
        <w:t>as Liquiditätsma</w:t>
      </w:r>
      <w:r w:rsidR="00996CF0">
        <w:rPr>
          <w:sz w:val="22"/>
          <w:szCs w:val="22"/>
        </w:rPr>
        <w:t xml:space="preserve">nagement des Eigenbetriebs </w:t>
      </w:r>
      <w:r w:rsidR="001C16FC" w:rsidRPr="001B7DBA">
        <w:rPr>
          <w:sz w:val="22"/>
          <w:szCs w:val="22"/>
        </w:rPr>
        <w:t>so ausgerichtet, dass die Kassenverzinsung nur in geringem Umfang in A</w:t>
      </w:r>
      <w:r w:rsidR="00077347">
        <w:rPr>
          <w:sz w:val="22"/>
          <w:szCs w:val="22"/>
        </w:rPr>
        <w:t>nspruch genommen werden musste.</w:t>
      </w:r>
    </w:p>
    <w:p w:rsidR="006E41FC" w:rsidRPr="00996CF0" w:rsidRDefault="00A166A5" w:rsidP="00D114A8">
      <w:pPr>
        <w:jc w:val="center"/>
        <w:rPr>
          <w:sz w:val="22"/>
          <w:szCs w:val="22"/>
        </w:rPr>
      </w:pPr>
      <w:r>
        <w:rPr>
          <w:noProof/>
          <w:sz w:val="22"/>
          <w:szCs w:val="22"/>
          <w:lang w:eastAsia="de-DE"/>
        </w:rPr>
        <w:drawing>
          <wp:inline distT="0" distB="0" distL="0" distR="0">
            <wp:extent cx="5457825" cy="2000250"/>
            <wp:effectExtent l="19050" t="0" r="9525" b="0"/>
            <wp:docPr id="2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5457825" cy="2000250"/>
                    </a:xfrm>
                    <a:prstGeom prst="rect">
                      <a:avLst/>
                    </a:prstGeom>
                    <a:noFill/>
                  </pic:spPr>
                </pic:pic>
              </a:graphicData>
            </a:graphic>
          </wp:inline>
        </w:drawing>
      </w:r>
    </w:p>
    <w:p w:rsidR="00996CF0" w:rsidRDefault="001C16FC" w:rsidP="00775FB9">
      <w:pPr>
        <w:jc w:val="both"/>
        <w:rPr>
          <w:sz w:val="22"/>
          <w:szCs w:val="22"/>
        </w:rPr>
      </w:pPr>
      <w:r w:rsidRPr="00624323">
        <w:rPr>
          <w:sz w:val="22"/>
          <w:szCs w:val="22"/>
        </w:rPr>
        <w:t xml:space="preserve">Im Berichtsjahr wurden </w:t>
      </w:r>
      <w:r w:rsidRPr="00DA2CFE">
        <w:rPr>
          <w:sz w:val="22"/>
          <w:szCs w:val="22"/>
          <w:u w:val="dotted"/>
        </w:rPr>
        <w:t>Ne</w:t>
      </w:r>
      <w:r w:rsidR="003D7863" w:rsidRPr="00DA2CFE">
        <w:rPr>
          <w:sz w:val="22"/>
          <w:szCs w:val="22"/>
          <w:u w:val="dotted"/>
        </w:rPr>
        <w:t>tto</w:t>
      </w:r>
      <w:r w:rsidR="00996CF0" w:rsidRPr="00DA2CFE">
        <w:rPr>
          <w:sz w:val="22"/>
          <w:szCs w:val="22"/>
          <w:u w:val="dotted"/>
        </w:rPr>
        <w:t>-Investitionen</w:t>
      </w:r>
      <w:r w:rsidR="00A166A5">
        <w:rPr>
          <w:sz w:val="22"/>
          <w:szCs w:val="22"/>
        </w:rPr>
        <w:t xml:space="preserve"> in Höhe von 39,34</w:t>
      </w:r>
      <w:r w:rsidRPr="00624323">
        <w:rPr>
          <w:sz w:val="22"/>
          <w:szCs w:val="22"/>
        </w:rPr>
        <w:t xml:space="preserve"> Mio. EUR durchgeführt. </w:t>
      </w:r>
      <w:r w:rsidR="00996CF0">
        <w:rPr>
          <w:sz w:val="22"/>
          <w:szCs w:val="22"/>
        </w:rPr>
        <w:t xml:space="preserve">Damit lagen die investiven Ausgaben </w:t>
      </w:r>
      <w:r w:rsidR="00A166A5">
        <w:rPr>
          <w:sz w:val="22"/>
          <w:szCs w:val="22"/>
        </w:rPr>
        <w:t>unter den ursprünglichen</w:t>
      </w:r>
      <w:r w:rsidR="00996CF0">
        <w:rPr>
          <w:sz w:val="22"/>
          <w:szCs w:val="22"/>
        </w:rPr>
        <w:t xml:space="preserve"> Planbudgets in Höhe von </w:t>
      </w:r>
      <w:r w:rsidR="00A166A5">
        <w:rPr>
          <w:sz w:val="22"/>
          <w:szCs w:val="22"/>
        </w:rPr>
        <w:t>43,37</w:t>
      </w:r>
      <w:r w:rsidR="00996CF0">
        <w:rPr>
          <w:sz w:val="22"/>
          <w:szCs w:val="22"/>
        </w:rPr>
        <w:t xml:space="preserve"> Mio. EUR. </w:t>
      </w:r>
      <w:r w:rsidR="00A166A5">
        <w:rPr>
          <w:sz w:val="22"/>
          <w:szCs w:val="22"/>
        </w:rPr>
        <w:t>Somit wurde das Steuerungsziel erreicht den Finanzierungsfehlbetrag aus 2011 in 2012 auszugleichen.</w:t>
      </w:r>
    </w:p>
    <w:p w:rsidR="00AA18B7" w:rsidRDefault="00F0139E" w:rsidP="00996CF0">
      <w:pPr>
        <w:jc w:val="both"/>
        <w:rPr>
          <w:sz w:val="22"/>
          <w:szCs w:val="22"/>
        </w:rPr>
      </w:pPr>
      <w:r>
        <w:rPr>
          <w:sz w:val="22"/>
          <w:szCs w:val="22"/>
        </w:rPr>
        <w:t xml:space="preserve">Innerhalb der verschiedenen </w:t>
      </w:r>
      <w:r w:rsidRPr="00F0139E">
        <w:rPr>
          <w:sz w:val="22"/>
          <w:szCs w:val="22"/>
          <w:u w:val="dotted"/>
        </w:rPr>
        <w:t>Aufwandpositionen</w:t>
      </w:r>
      <w:r>
        <w:rPr>
          <w:sz w:val="22"/>
          <w:szCs w:val="22"/>
        </w:rPr>
        <w:t xml:space="preserve"> </w:t>
      </w:r>
      <w:r w:rsidR="00A55650">
        <w:rPr>
          <w:sz w:val="22"/>
          <w:szCs w:val="22"/>
        </w:rPr>
        <w:t>kam</w:t>
      </w:r>
      <w:r w:rsidR="00996CF0" w:rsidRPr="00996CF0">
        <w:rPr>
          <w:sz w:val="22"/>
          <w:szCs w:val="22"/>
        </w:rPr>
        <w:t xml:space="preserve"> es </w:t>
      </w:r>
      <w:r>
        <w:rPr>
          <w:sz w:val="22"/>
          <w:szCs w:val="22"/>
        </w:rPr>
        <w:t xml:space="preserve">in 2012 </w:t>
      </w:r>
      <w:r w:rsidR="007914C2">
        <w:rPr>
          <w:sz w:val="22"/>
          <w:szCs w:val="22"/>
        </w:rPr>
        <w:t xml:space="preserve">beim Personalaufwand und den sonstigen betrieblichen Aufwendungen </w:t>
      </w:r>
      <w:r w:rsidR="00B17BFB">
        <w:rPr>
          <w:noProof/>
          <w:sz w:val="22"/>
          <w:szCs w:val="22"/>
          <w:lang w:eastAsia="de-DE"/>
        </w:rPr>
        <w:t>zu Überschreitungen der Planbud</w:t>
      </w:r>
      <w:r w:rsidR="00A55650">
        <w:rPr>
          <w:noProof/>
          <w:sz w:val="22"/>
          <w:szCs w:val="22"/>
          <w:lang w:eastAsia="de-DE"/>
        </w:rPr>
        <w:t xml:space="preserve">gets. Diese konnten durch </w:t>
      </w:r>
      <w:r w:rsidR="007914C2">
        <w:rPr>
          <w:noProof/>
          <w:sz w:val="22"/>
          <w:szCs w:val="22"/>
          <w:lang w:eastAsia="de-DE"/>
        </w:rPr>
        <w:t>Untersch</w:t>
      </w:r>
      <w:r w:rsidR="00401D40">
        <w:rPr>
          <w:noProof/>
          <w:sz w:val="22"/>
          <w:szCs w:val="22"/>
          <w:lang w:eastAsia="de-DE"/>
        </w:rPr>
        <w:t xml:space="preserve">reitungen des Materialaufwandes, durch </w:t>
      </w:r>
      <w:r w:rsidR="00E93430">
        <w:rPr>
          <w:noProof/>
          <w:sz w:val="22"/>
          <w:szCs w:val="22"/>
          <w:lang w:eastAsia="de-DE"/>
        </w:rPr>
        <w:t>den freu</w:t>
      </w:r>
      <w:r>
        <w:rPr>
          <w:noProof/>
          <w:sz w:val="22"/>
          <w:szCs w:val="22"/>
          <w:lang w:eastAsia="de-DE"/>
        </w:rPr>
        <w:t>ndlichen</w:t>
      </w:r>
      <w:r w:rsidR="00401D40">
        <w:rPr>
          <w:noProof/>
          <w:sz w:val="22"/>
          <w:szCs w:val="22"/>
          <w:lang w:eastAsia="de-DE"/>
        </w:rPr>
        <w:t xml:space="preserve"> Zins</w:t>
      </w:r>
      <w:r w:rsidR="00E93430">
        <w:rPr>
          <w:noProof/>
          <w:sz w:val="22"/>
          <w:szCs w:val="22"/>
          <w:lang w:eastAsia="de-DE"/>
        </w:rPr>
        <w:t>-</w:t>
      </w:r>
      <w:r>
        <w:rPr>
          <w:noProof/>
          <w:sz w:val="22"/>
          <w:szCs w:val="22"/>
          <w:lang w:eastAsia="de-DE"/>
        </w:rPr>
        <w:t>aufwand</w:t>
      </w:r>
      <w:r w:rsidR="00401D40">
        <w:rPr>
          <w:noProof/>
          <w:sz w:val="22"/>
          <w:szCs w:val="22"/>
          <w:lang w:eastAsia="de-DE"/>
        </w:rPr>
        <w:t xml:space="preserve"> und d</w:t>
      </w:r>
      <w:r>
        <w:rPr>
          <w:noProof/>
          <w:sz w:val="22"/>
          <w:szCs w:val="22"/>
          <w:lang w:eastAsia="de-DE"/>
        </w:rPr>
        <w:t xml:space="preserve">urch höhere Umsatzerlöse als </w:t>
      </w:r>
      <w:r w:rsidR="00401D40">
        <w:rPr>
          <w:noProof/>
          <w:sz w:val="22"/>
          <w:szCs w:val="22"/>
          <w:lang w:eastAsia="de-DE"/>
        </w:rPr>
        <w:t>geplant</w:t>
      </w:r>
      <w:r>
        <w:rPr>
          <w:noProof/>
          <w:sz w:val="22"/>
          <w:szCs w:val="22"/>
          <w:lang w:eastAsia="de-DE"/>
        </w:rPr>
        <w:t>,</w:t>
      </w:r>
      <w:r w:rsidR="00401D40">
        <w:rPr>
          <w:noProof/>
          <w:sz w:val="22"/>
          <w:szCs w:val="22"/>
          <w:lang w:eastAsia="de-DE"/>
        </w:rPr>
        <w:t xml:space="preserve"> wieder kompensiert werden.</w:t>
      </w:r>
    </w:p>
    <w:p w:rsidR="003D7863" w:rsidRPr="00B16C81" w:rsidRDefault="00B16C81" w:rsidP="00A55650">
      <w:pPr>
        <w:tabs>
          <w:tab w:val="left" w:pos="1843"/>
        </w:tabs>
        <w:jc w:val="both"/>
        <w:rPr>
          <w:sz w:val="22"/>
          <w:szCs w:val="22"/>
        </w:rPr>
      </w:pPr>
      <w:r w:rsidRPr="00B16C81">
        <w:rPr>
          <w:sz w:val="22"/>
          <w:szCs w:val="22"/>
        </w:rPr>
        <w:t>Der</w:t>
      </w:r>
      <w:r w:rsidR="00A55650">
        <w:rPr>
          <w:sz w:val="22"/>
          <w:szCs w:val="22"/>
        </w:rPr>
        <w:t xml:space="preserve"> Bericht über das </w:t>
      </w:r>
      <w:r w:rsidR="00A55650" w:rsidRPr="00DA2CFE">
        <w:rPr>
          <w:sz w:val="22"/>
          <w:szCs w:val="22"/>
          <w:u w:val="dotted"/>
        </w:rPr>
        <w:t>Prozesscontrolling 201</w:t>
      </w:r>
      <w:r w:rsidR="00401D40">
        <w:rPr>
          <w:sz w:val="22"/>
          <w:szCs w:val="22"/>
          <w:u w:val="dotted"/>
        </w:rPr>
        <w:t>1</w:t>
      </w:r>
      <w:r w:rsidR="00401D40">
        <w:rPr>
          <w:sz w:val="22"/>
          <w:szCs w:val="22"/>
        </w:rPr>
        <w:t xml:space="preserve"> wurde in 2012</w:t>
      </w:r>
      <w:r w:rsidR="00A55650">
        <w:rPr>
          <w:sz w:val="22"/>
          <w:szCs w:val="22"/>
        </w:rPr>
        <w:t xml:space="preserve"> erstellt und zeigte keine krit</w:t>
      </w:r>
      <w:r w:rsidR="00A55650">
        <w:rPr>
          <w:sz w:val="22"/>
          <w:szCs w:val="22"/>
        </w:rPr>
        <w:t>i</w:t>
      </w:r>
      <w:r w:rsidR="00A55650">
        <w:rPr>
          <w:sz w:val="22"/>
          <w:szCs w:val="22"/>
        </w:rPr>
        <w:t>schen</w:t>
      </w:r>
      <w:r w:rsidRPr="00B16C81">
        <w:rPr>
          <w:sz w:val="22"/>
          <w:szCs w:val="22"/>
        </w:rPr>
        <w:t xml:space="preserve"> Kosten</w:t>
      </w:r>
      <w:r w:rsidR="00A55650">
        <w:rPr>
          <w:sz w:val="22"/>
          <w:szCs w:val="22"/>
        </w:rPr>
        <w:t>entwicklungen.</w:t>
      </w:r>
    </w:p>
    <w:p w:rsidR="00D114A8" w:rsidRDefault="00D114A8" w:rsidP="00A55650">
      <w:pPr>
        <w:jc w:val="both"/>
        <w:rPr>
          <w:sz w:val="22"/>
          <w:szCs w:val="22"/>
        </w:rPr>
      </w:pPr>
    </w:p>
    <w:p w:rsidR="001C16FC" w:rsidRPr="00A5090F" w:rsidRDefault="001C16FC" w:rsidP="001C16FC">
      <w:pPr>
        <w:pStyle w:val="berschrift5"/>
      </w:pPr>
      <w:r w:rsidRPr="00A5090F">
        <w:t>Bereich Kunden und Umwelt</w:t>
      </w:r>
    </w:p>
    <w:p w:rsidR="00AF7879" w:rsidRPr="00AF7879" w:rsidRDefault="00F0139E" w:rsidP="00D1093D">
      <w:pPr>
        <w:jc w:val="both"/>
        <w:rPr>
          <w:sz w:val="22"/>
          <w:szCs w:val="22"/>
        </w:rPr>
      </w:pPr>
      <w:r>
        <w:rPr>
          <w:sz w:val="22"/>
          <w:szCs w:val="22"/>
        </w:rPr>
        <w:t>In 2012</w:t>
      </w:r>
      <w:r w:rsidR="00AF7879">
        <w:rPr>
          <w:sz w:val="22"/>
          <w:szCs w:val="22"/>
        </w:rPr>
        <w:t xml:space="preserve"> gab</w:t>
      </w:r>
      <w:r w:rsidR="00AF7879" w:rsidRPr="00AF7879">
        <w:rPr>
          <w:sz w:val="22"/>
          <w:szCs w:val="22"/>
        </w:rPr>
        <w:t xml:space="preserve"> es kein</w:t>
      </w:r>
      <w:r w:rsidR="00C10B3E">
        <w:rPr>
          <w:sz w:val="22"/>
          <w:szCs w:val="22"/>
        </w:rPr>
        <w:t>e laufende</w:t>
      </w:r>
      <w:r w:rsidR="00AD2832">
        <w:rPr>
          <w:sz w:val="22"/>
          <w:szCs w:val="22"/>
        </w:rPr>
        <w:t>n</w:t>
      </w:r>
      <w:r w:rsidR="00AF7879" w:rsidRPr="00AF7879">
        <w:rPr>
          <w:sz w:val="22"/>
          <w:szCs w:val="22"/>
        </w:rPr>
        <w:t xml:space="preserve"> </w:t>
      </w:r>
      <w:r w:rsidR="00AF7879" w:rsidRPr="00DA2CFE">
        <w:rPr>
          <w:sz w:val="22"/>
          <w:szCs w:val="22"/>
          <w:u w:val="dotted"/>
        </w:rPr>
        <w:t>Rechtsverfahren</w:t>
      </w:r>
      <w:r w:rsidR="00AF7879" w:rsidRPr="00AF7879">
        <w:rPr>
          <w:sz w:val="22"/>
          <w:szCs w:val="22"/>
        </w:rPr>
        <w:t>.</w:t>
      </w:r>
    </w:p>
    <w:p w:rsidR="0015745B" w:rsidRPr="00DA2CFE" w:rsidRDefault="00C004E1" w:rsidP="00DA2CFE">
      <w:pPr>
        <w:jc w:val="both"/>
        <w:rPr>
          <w:sz w:val="22"/>
          <w:szCs w:val="22"/>
        </w:rPr>
      </w:pPr>
      <w:r>
        <w:rPr>
          <w:sz w:val="22"/>
          <w:szCs w:val="22"/>
        </w:rPr>
        <w:t>Neue erkennbare</w:t>
      </w:r>
      <w:r w:rsidR="00AF7879">
        <w:rPr>
          <w:sz w:val="22"/>
          <w:szCs w:val="22"/>
        </w:rPr>
        <w:t xml:space="preserve"> </w:t>
      </w:r>
      <w:r w:rsidRPr="00DA2CFE">
        <w:rPr>
          <w:sz w:val="22"/>
          <w:szCs w:val="22"/>
          <w:u w:val="dotted"/>
        </w:rPr>
        <w:t>wirtschaftliche, rechtliche und technische</w:t>
      </w:r>
      <w:r w:rsidR="00AF7879" w:rsidRPr="00DA2CFE">
        <w:rPr>
          <w:sz w:val="22"/>
          <w:szCs w:val="22"/>
          <w:u w:val="dotted"/>
        </w:rPr>
        <w:t xml:space="preserve"> Trends</w:t>
      </w:r>
      <w:r w:rsidR="00AF7879">
        <w:rPr>
          <w:sz w:val="22"/>
          <w:szCs w:val="22"/>
        </w:rPr>
        <w:t xml:space="preserve"> wurden </w:t>
      </w:r>
      <w:r>
        <w:rPr>
          <w:sz w:val="22"/>
          <w:szCs w:val="22"/>
        </w:rPr>
        <w:t>vierteljährlich fortgeschrieben</w:t>
      </w:r>
      <w:r w:rsidR="0015745B">
        <w:rPr>
          <w:sz w:val="22"/>
          <w:szCs w:val="22"/>
        </w:rPr>
        <w:t xml:space="preserve"> und </w:t>
      </w:r>
      <w:r w:rsidR="00C10B3E">
        <w:rPr>
          <w:sz w:val="22"/>
          <w:szCs w:val="22"/>
        </w:rPr>
        <w:t>stellten</w:t>
      </w:r>
      <w:r w:rsidR="0015745B">
        <w:rPr>
          <w:sz w:val="22"/>
          <w:szCs w:val="22"/>
        </w:rPr>
        <w:t xml:space="preserve"> zeitnah </w:t>
      </w:r>
      <w:r w:rsidR="00C10B3E">
        <w:rPr>
          <w:sz w:val="22"/>
          <w:szCs w:val="22"/>
        </w:rPr>
        <w:t>mögliche</w:t>
      </w:r>
      <w:r w:rsidR="0015745B">
        <w:rPr>
          <w:sz w:val="22"/>
          <w:szCs w:val="22"/>
        </w:rPr>
        <w:t xml:space="preserve"> Entwicklungen</w:t>
      </w:r>
      <w:r w:rsidR="00C10B3E">
        <w:rPr>
          <w:sz w:val="22"/>
          <w:szCs w:val="22"/>
        </w:rPr>
        <w:t xml:space="preserve"> dar</w:t>
      </w:r>
      <w:r w:rsidR="00974B42">
        <w:rPr>
          <w:sz w:val="22"/>
          <w:szCs w:val="22"/>
        </w:rPr>
        <w:t xml:space="preserve">. </w:t>
      </w:r>
    </w:p>
    <w:p w:rsidR="00D40AA0" w:rsidRPr="00AF4A94" w:rsidRDefault="005D2C8B" w:rsidP="00D40AA0">
      <w:pPr>
        <w:jc w:val="both"/>
        <w:rPr>
          <w:sz w:val="22"/>
          <w:szCs w:val="22"/>
        </w:rPr>
      </w:pPr>
      <w:r>
        <w:rPr>
          <w:sz w:val="22"/>
          <w:szCs w:val="22"/>
        </w:rPr>
        <w:t xml:space="preserve">Die </w:t>
      </w:r>
      <w:r w:rsidRPr="005D2C8B">
        <w:rPr>
          <w:sz w:val="22"/>
          <w:szCs w:val="22"/>
          <w:u w:val="dotted"/>
        </w:rPr>
        <w:t>zulässigen Reinigungswerte</w:t>
      </w:r>
      <w:r>
        <w:rPr>
          <w:sz w:val="22"/>
          <w:szCs w:val="22"/>
        </w:rPr>
        <w:t xml:space="preserve"> wurden in allen Klärwerken </w:t>
      </w:r>
      <w:r w:rsidR="00926662">
        <w:rPr>
          <w:sz w:val="22"/>
          <w:szCs w:val="22"/>
        </w:rPr>
        <w:t xml:space="preserve">absolut </w:t>
      </w:r>
      <w:r>
        <w:rPr>
          <w:sz w:val="22"/>
          <w:szCs w:val="22"/>
        </w:rPr>
        <w:t xml:space="preserve">eingehalten. </w:t>
      </w:r>
      <w:r w:rsidR="00AF4A94" w:rsidRPr="00AF4A94">
        <w:rPr>
          <w:sz w:val="22"/>
          <w:szCs w:val="22"/>
        </w:rPr>
        <w:t>Die Schlammverbrenn</w:t>
      </w:r>
      <w:r w:rsidR="00AF4A94">
        <w:rPr>
          <w:sz w:val="22"/>
          <w:szCs w:val="22"/>
        </w:rPr>
        <w:t xml:space="preserve">ung im WSO 3 lief </w:t>
      </w:r>
      <w:r w:rsidR="00AF4A94" w:rsidRPr="00AF4A94">
        <w:rPr>
          <w:sz w:val="22"/>
          <w:szCs w:val="22"/>
        </w:rPr>
        <w:t>zuverlässig. Der WSO 2 wird bis Februar 2013 ertüc</w:t>
      </w:r>
      <w:r w:rsidR="00AF4A94" w:rsidRPr="00AF4A94">
        <w:rPr>
          <w:sz w:val="22"/>
          <w:szCs w:val="22"/>
        </w:rPr>
        <w:t>h</w:t>
      </w:r>
      <w:r w:rsidR="00AF4A94" w:rsidRPr="00AF4A94">
        <w:rPr>
          <w:sz w:val="22"/>
          <w:szCs w:val="22"/>
        </w:rPr>
        <w:t>tigt.</w:t>
      </w:r>
      <w:r w:rsidR="00AF4A94">
        <w:rPr>
          <w:sz w:val="22"/>
          <w:szCs w:val="22"/>
        </w:rPr>
        <w:t xml:space="preserve"> </w:t>
      </w:r>
      <w:r w:rsidR="00AF4A94" w:rsidRPr="00AF4A94">
        <w:rPr>
          <w:sz w:val="22"/>
          <w:szCs w:val="22"/>
        </w:rPr>
        <w:t>Die Schäden der Überflutung im Untergeschoss der Sandfanganlage Mühlhausen</w:t>
      </w:r>
      <w:r w:rsidR="00D40AA0">
        <w:rPr>
          <w:sz w:val="22"/>
          <w:szCs w:val="22"/>
        </w:rPr>
        <w:t xml:space="preserve"> </w:t>
      </w:r>
      <w:r w:rsidR="00AF4A94" w:rsidRPr="00AF4A94">
        <w:rPr>
          <w:sz w:val="22"/>
          <w:szCs w:val="22"/>
        </w:rPr>
        <w:t xml:space="preserve">sind bis auf die Lüftungsanlage und die Elektrotechnik </w:t>
      </w:r>
      <w:r w:rsidR="00926662">
        <w:rPr>
          <w:sz w:val="22"/>
          <w:szCs w:val="22"/>
        </w:rPr>
        <w:t xml:space="preserve">wieder </w:t>
      </w:r>
      <w:r w:rsidR="00AF4A94" w:rsidRPr="00AF4A94">
        <w:rPr>
          <w:sz w:val="22"/>
          <w:szCs w:val="22"/>
        </w:rPr>
        <w:t>weitgehend behoben.</w:t>
      </w:r>
    </w:p>
    <w:p w:rsidR="00AF4A94" w:rsidRDefault="00926662" w:rsidP="00D114A8">
      <w:pPr>
        <w:jc w:val="center"/>
        <w:rPr>
          <w:sz w:val="22"/>
          <w:szCs w:val="22"/>
        </w:rPr>
      </w:pPr>
      <w:r>
        <w:rPr>
          <w:noProof/>
          <w:sz w:val="22"/>
          <w:szCs w:val="22"/>
          <w:lang w:eastAsia="de-DE"/>
        </w:rPr>
        <w:drawing>
          <wp:inline distT="0" distB="0" distL="0" distR="0">
            <wp:extent cx="4962921" cy="2343150"/>
            <wp:effectExtent l="19050" t="0" r="9129" b="0"/>
            <wp:docPr id="27"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a:off x="0" y="0"/>
                      <a:ext cx="4972482" cy="2347664"/>
                    </a:xfrm>
                    <a:prstGeom prst="rect">
                      <a:avLst/>
                    </a:prstGeom>
                    <a:noFill/>
                  </pic:spPr>
                </pic:pic>
              </a:graphicData>
            </a:graphic>
          </wp:inline>
        </w:drawing>
      </w:r>
    </w:p>
    <w:p w:rsidR="00C81936" w:rsidRPr="00C81936" w:rsidRDefault="00C81936" w:rsidP="00C81936">
      <w:pPr>
        <w:jc w:val="both"/>
        <w:rPr>
          <w:sz w:val="22"/>
          <w:szCs w:val="22"/>
        </w:rPr>
      </w:pPr>
      <w:r w:rsidRPr="00C81936">
        <w:rPr>
          <w:sz w:val="22"/>
          <w:szCs w:val="22"/>
        </w:rPr>
        <w:lastRenderedPageBreak/>
        <w:t xml:space="preserve">Die </w:t>
      </w:r>
      <w:r w:rsidRPr="00AD2832">
        <w:rPr>
          <w:sz w:val="22"/>
          <w:szCs w:val="22"/>
          <w:u w:val="dotted"/>
        </w:rPr>
        <w:t>Zustandsklassen</w:t>
      </w:r>
      <w:r w:rsidRPr="00C81936">
        <w:rPr>
          <w:sz w:val="22"/>
          <w:szCs w:val="22"/>
        </w:rPr>
        <w:t xml:space="preserve"> werden nach dem Merkblatt DWA-M 149-3 angeg</w:t>
      </w:r>
      <w:r>
        <w:rPr>
          <w:sz w:val="22"/>
          <w:szCs w:val="22"/>
        </w:rPr>
        <w:t>eben. Haltungen mit der Zu</w:t>
      </w:r>
      <w:r w:rsidRPr="00C81936">
        <w:rPr>
          <w:sz w:val="22"/>
          <w:szCs w:val="22"/>
        </w:rPr>
        <w:t>standsklasse 0 haben die höchste Instandsetzungspriorität. Hier auftr</w:t>
      </w:r>
      <w:r>
        <w:rPr>
          <w:sz w:val="22"/>
          <w:szCs w:val="22"/>
        </w:rPr>
        <w:t>etende Mängel sollten umgeh</w:t>
      </w:r>
      <w:r w:rsidRPr="00C81936">
        <w:rPr>
          <w:sz w:val="22"/>
          <w:szCs w:val="22"/>
        </w:rPr>
        <w:t>end behoben werden. Der prozentuale Anteil schadhafter Leitungen der SES (Zustands</w:t>
      </w:r>
      <w:r>
        <w:rPr>
          <w:sz w:val="22"/>
          <w:szCs w:val="22"/>
        </w:rPr>
        <w:t xml:space="preserve">klassen 0-4) </w:t>
      </w:r>
      <w:r w:rsidRPr="00C81936">
        <w:rPr>
          <w:sz w:val="22"/>
          <w:szCs w:val="22"/>
        </w:rPr>
        <w:t>zur Gesamtzahl beträgt 66,7%. Das Abwasserkanalnetz er</w:t>
      </w:r>
      <w:r>
        <w:rPr>
          <w:sz w:val="22"/>
          <w:szCs w:val="22"/>
        </w:rPr>
        <w:t>streckt sich über 1.684 km.</w:t>
      </w:r>
    </w:p>
    <w:p w:rsidR="00AD2832" w:rsidRDefault="00E64D7F" w:rsidP="00AD2832">
      <w:pPr>
        <w:jc w:val="both"/>
        <w:rPr>
          <w:sz w:val="22"/>
          <w:szCs w:val="22"/>
        </w:rPr>
      </w:pPr>
      <w:r>
        <w:rPr>
          <w:sz w:val="22"/>
          <w:szCs w:val="22"/>
        </w:rPr>
        <w:t xml:space="preserve">Im Bereich </w:t>
      </w:r>
      <w:r w:rsidRPr="00E64D7F">
        <w:rPr>
          <w:sz w:val="22"/>
          <w:szCs w:val="22"/>
          <w:u w:val="dotted"/>
        </w:rPr>
        <w:t>Öffentlichkeitsarbeit und Bürgerinformation</w:t>
      </w:r>
      <w:r w:rsidR="00AD2832">
        <w:rPr>
          <w:sz w:val="22"/>
          <w:szCs w:val="22"/>
        </w:rPr>
        <w:t xml:space="preserve"> gab es 2012</w:t>
      </w:r>
      <w:r>
        <w:rPr>
          <w:sz w:val="22"/>
          <w:szCs w:val="22"/>
        </w:rPr>
        <w:t xml:space="preserve"> zahlreiche interessante Aktivitäten. </w:t>
      </w:r>
      <w:r w:rsidR="00AD2832" w:rsidRPr="00AD2832">
        <w:rPr>
          <w:sz w:val="22"/>
          <w:szCs w:val="22"/>
        </w:rPr>
        <w:t>Der SES</w:t>
      </w:r>
      <w:r w:rsidR="00AD2832">
        <w:rPr>
          <w:sz w:val="22"/>
          <w:szCs w:val="22"/>
        </w:rPr>
        <w:t xml:space="preserve">-Jahresbericht 2011 wurde im </w:t>
      </w:r>
      <w:r w:rsidR="00AD2832" w:rsidRPr="00AD2832">
        <w:rPr>
          <w:sz w:val="22"/>
          <w:szCs w:val="22"/>
        </w:rPr>
        <w:t xml:space="preserve">Oktober </w:t>
      </w:r>
      <w:r w:rsidR="00AD2832">
        <w:rPr>
          <w:sz w:val="22"/>
          <w:szCs w:val="22"/>
        </w:rPr>
        <w:t xml:space="preserve">2012 </w:t>
      </w:r>
      <w:r w:rsidR="00AD2832" w:rsidRPr="00AD2832">
        <w:rPr>
          <w:sz w:val="22"/>
          <w:szCs w:val="22"/>
        </w:rPr>
        <w:t>fertig gestellt und veröffen</w:t>
      </w:r>
      <w:r w:rsidR="00AD2832" w:rsidRPr="00AD2832">
        <w:rPr>
          <w:sz w:val="22"/>
          <w:szCs w:val="22"/>
        </w:rPr>
        <w:t>t</w:t>
      </w:r>
      <w:r w:rsidR="00AD2832" w:rsidRPr="00AD2832">
        <w:rPr>
          <w:sz w:val="22"/>
          <w:szCs w:val="22"/>
        </w:rPr>
        <w:t xml:space="preserve">licht. </w:t>
      </w:r>
      <w:r w:rsidR="00F6744C">
        <w:rPr>
          <w:sz w:val="22"/>
          <w:szCs w:val="22"/>
        </w:rPr>
        <w:t>Im gleichen Monat t</w:t>
      </w:r>
      <w:r w:rsidR="00AD2832">
        <w:rPr>
          <w:sz w:val="22"/>
          <w:szCs w:val="22"/>
        </w:rPr>
        <w:t xml:space="preserve">rafen </w:t>
      </w:r>
      <w:r w:rsidR="00AD2832" w:rsidRPr="00AD2832">
        <w:rPr>
          <w:sz w:val="22"/>
          <w:szCs w:val="22"/>
        </w:rPr>
        <w:t>sich über 60 Personen aus Wissenschaft, Wirtschaft und Kommunen im Hauptklärwerk Mühlhausen, um am Kolloquium "50 Jahre Klärschlammve</w:t>
      </w:r>
      <w:r w:rsidR="00AD2832" w:rsidRPr="00AD2832">
        <w:rPr>
          <w:sz w:val="22"/>
          <w:szCs w:val="22"/>
        </w:rPr>
        <w:t>r</w:t>
      </w:r>
      <w:r w:rsidR="00AD2832" w:rsidRPr="00AD2832">
        <w:rPr>
          <w:sz w:val="22"/>
          <w:szCs w:val="22"/>
        </w:rPr>
        <w:t>brennung in St</w:t>
      </w:r>
      <w:r w:rsidR="00AD2832">
        <w:rPr>
          <w:sz w:val="22"/>
          <w:szCs w:val="22"/>
        </w:rPr>
        <w:t>uttgart" teilzunehmen. Am 15. November</w:t>
      </w:r>
      <w:r w:rsidR="00AD2832" w:rsidRPr="00AD2832">
        <w:rPr>
          <w:sz w:val="22"/>
          <w:szCs w:val="22"/>
        </w:rPr>
        <w:t xml:space="preserve"> fand die spektakuläre Anlieferung per Schiff und die Aufstellung des Silos für die 2. K</w:t>
      </w:r>
      <w:r w:rsidR="00D3774F">
        <w:rPr>
          <w:sz w:val="22"/>
          <w:szCs w:val="22"/>
        </w:rPr>
        <w:t xml:space="preserve">lärschlammannahmestation statt. </w:t>
      </w:r>
      <w:r w:rsidR="00AD2832" w:rsidRPr="00AD2832">
        <w:rPr>
          <w:sz w:val="22"/>
          <w:szCs w:val="22"/>
        </w:rPr>
        <w:t xml:space="preserve">Im Rahmen der </w:t>
      </w:r>
      <w:r w:rsidR="00D3774F">
        <w:rPr>
          <w:sz w:val="22"/>
          <w:szCs w:val="22"/>
        </w:rPr>
        <w:t xml:space="preserve">Stuttgarter </w:t>
      </w:r>
      <w:r w:rsidR="00AD2832" w:rsidRPr="00AD2832">
        <w:rPr>
          <w:sz w:val="22"/>
          <w:szCs w:val="22"/>
        </w:rPr>
        <w:t xml:space="preserve">Kids </w:t>
      </w:r>
      <w:proofErr w:type="spellStart"/>
      <w:r w:rsidR="00AD2832" w:rsidRPr="00AD2832">
        <w:rPr>
          <w:sz w:val="22"/>
          <w:szCs w:val="22"/>
        </w:rPr>
        <w:t>W</w:t>
      </w:r>
      <w:r w:rsidR="00F6744C">
        <w:rPr>
          <w:sz w:val="22"/>
          <w:szCs w:val="22"/>
        </w:rPr>
        <w:t>eek</w:t>
      </w:r>
      <w:proofErr w:type="spellEnd"/>
      <w:r w:rsidR="00F6744C">
        <w:rPr>
          <w:sz w:val="22"/>
          <w:szCs w:val="22"/>
        </w:rPr>
        <w:t xml:space="preserve"> nahmen Kinder und Eltern </w:t>
      </w:r>
      <w:r w:rsidR="00AD2832" w:rsidRPr="00AD2832">
        <w:rPr>
          <w:sz w:val="22"/>
          <w:szCs w:val="22"/>
        </w:rPr>
        <w:t>a</w:t>
      </w:r>
      <w:r w:rsidR="00D3774F">
        <w:rPr>
          <w:sz w:val="22"/>
          <w:szCs w:val="22"/>
        </w:rPr>
        <w:t>n einer Führung durch das Haupt</w:t>
      </w:r>
      <w:r w:rsidR="00AD2832" w:rsidRPr="00AD2832">
        <w:rPr>
          <w:sz w:val="22"/>
          <w:szCs w:val="22"/>
        </w:rPr>
        <w:t>klärwerk Mühlhausen teil. Das Informationsz</w:t>
      </w:r>
      <w:r w:rsidR="00D3774F">
        <w:rPr>
          <w:sz w:val="22"/>
          <w:szCs w:val="22"/>
        </w:rPr>
        <w:t>entrum Stadtentwässerung war regelm</w:t>
      </w:r>
      <w:r w:rsidR="00D3774F">
        <w:rPr>
          <w:sz w:val="22"/>
          <w:szCs w:val="22"/>
        </w:rPr>
        <w:t>ä</w:t>
      </w:r>
      <w:r w:rsidR="00D3774F">
        <w:rPr>
          <w:sz w:val="22"/>
          <w:szCs w:val="22"/>
        </w:rPr>
        <w:t>ßig für Besuchergruppen geöffnet und erfreut</w:t>
      </w:r>
      <w:r w:rsidR="00AD2832" w:rsidRPr="00AD2832">
        <w:rPr>
          <w:sz w:val="22"/>
          <w:szCs w:val="22"/>
        </w:rPr>
        <w:t>e sich wiederum großer Beliebtheit.</w:t>
      </w:r>
      <w:r w:rsidR="00AD2832" w:rsidRPr="00AD2832">
        <w:rPr>
          <w:sz w:val="22"/>
          <w:szCs w:val="22"/>
        </w:rPr>
        <w:tab/>
      </w:r>
    </w:p>
    <w:p w:rsidR="0074152D" w:rsidRDefault="0074152D" w:rsidP="0074152D">
      <w:pPr>
        <w:jc w:val="both"/>
        <w:rPr>
          <w:sz w:val="22"/>
          <w:szCs w:val="22"/>
        </w:rPr>
      </w:pPr>
      <w:r w:rsidRPr="0074152D">
        <w:rPr>
          <w:sz w:val="22"/>
          <w:szCs w:val="22"/>
        </w:rPr>
        <w:t xml:space="preserve">Am </w:t>
      </w:r>
      <w:proofErr w:type="spellStart"/>
      <w:r w:rsidRPr="0074152D">
        <w:rPr>
          <w:sz w:val="22"/>
          <w:szCs w:val="22"/>
          <w:u w:val="dotted"/>
        </w:rPr>
        <w:t>Unternehmensbenchmarking</w:t>
      </w:r>
      <w:proofErr w:type="spellEnd"/>
      <w:r>
        <w:rPr>
          <w:sz w:val="22"/>
          <w:szCs w:val="22"/>
        </w:rPr>
        <w:t xml:space="preserve"> </w:t>
      </w:r>
      <w:r w:rsidR="00F6744C">
        <w:rPr>
          <w:sz w:val="22"/>
          <w:szCs w:val="22"/>
        </w:rPr>
        <w:t>der DWA</w:t>
      </w:r>
      <w:r w:rsidRPr="0074152D">
        <w:rPr>
          <w:sz w:val="22"/>
          <w:szCs w:val="22"/>
        </w:rPr>
        <w:t xml:space="preserve"> nimmt die SES nun schon das </w:t>
      </w:r>
      <w:r w:rsidR="00B354C6">
        <w:rPr>
          <w:sz w:val="22"/>
          <w:szCs w:val="22"/>
        </w:rPr>
        <w:t>sechste</w:t>
      </w:r>
      <w:r w:rsidRPr="0074152D">
        <w:rPr>
          <w:sz w:val="22"/>
          <w:szCs w:val="22"/>
        </w:rPr>
        <w:t xml:space="preserve"> Jahr in Folge teil.</w:t>
      </w:r>
      <w:r w:rsidR="002C1B86">
        <w:rPr>
          <w:sz w:val="22"/>
          <w:szCs w:val="22"/>
        </w:rPr>
        <w:t xml:space="preserve"> Der Kanalbetrieb und </w:t>
      </w:r>
      <w:r w:rsidR="00B354C6">
        <w:rPr>
          <w:sz w:val="22"/>
          <w:szCs w:val="22"/>
        </w:rPr>
        <w:t>das SES-Zentrallabor nahmen 2012</w:t>
      </w:r>
      <w:r w:rsidR="002C1B86">
        <w:rPr>
          <w:sz w:val="22"/>
          <w:szCs w:val="22"/>
        </w:rPr>
        <w:t xml:space="preserve"> </w:t>
      </w:r>
      <w:r w:rsidR="00B30147">
        <w:rPr>
          <w:sz w:val="22"/>
          <w:szCs w:val="22"/>
        </w:rPr>
        <w:t xml:space="preserve">darüber hinaus </w:t>
      </w:r>
      <w:r w:rsidR="002C1B86">
        <w:rPr>
          <w:sz w:val="22"/>
          <w:szCs w:val="22"/>
        </w:rPr>
        <w:t xml:space="preserve">an </w:t>
      </w:r>
      <w:r w:rsidR="00CE614C">
        <w:rPr>
          <w:sz w:val="22"/>
          <w:szCs w:val="22"/>
        </w:rPr>
        <w:t>pr</w:t>
      </w:r>
      <w:r w:rsidR="00CE614C">
        <w:rPr>
          <w:sz w:val="22"/>
          <w:szCs w:val="22"/>
        </w:rPr>
        <w:t>o</w:t>
      </w:r>
      <w:r w:rsidR="00CE614C">
        <w:rPr>
          <w:sz w:val="22"/>
          <w:szCs w:val="22"/>
        </w:rPr>
        <w:t>zessorientierten</w:t>
      </w:r>
      <w:r w:rsidR="002C1B86">
        <w:rPr>
          <w:sz w:val="22"/>
          <w:szCs w:val="22"/>
        </w:rPr>
        <w:t xml:space="preserve"> </w:t>
      </w:r>
      <w:proofErr w:type="spellStart"/>
      <w:r w:rsidR="002C1B86">
        <w:rPr>
          <w:sz w:val="22"/>
          <w:szCs w:val="22"/>
        </w:rPr>
        <w:t>Benchmarkingprojekten</w:t>
      </w:r>
      <w:proofErr w:type="spellEnd"/>
      <w:r w:rsidR="002C1B86">
        <w:rPr>
          <w:sz w:val="22"/>
          <w:szCs w:val="22"/>
        </w:rPr>
        <w:t xml:space="preserve"> teil.</w:t>
      </w:r>
    </w:p>
    <w:p w:rsidR="00A30451" w:rsidRPr="0074152D" w:rsidRDefault="00A30451" w:rsidP="0074152D">
      <w:pPr>
        <w:jc w:val="both"/>
        <w:rPr>
          <w:sz w:val="22"/>
          <w:szCs w:val="22"/>
        </w:rPr>
      </w:pPr>
      <w:r w:rsidRPr="00A30451">
        <w:rPr>
          <w:sz w:val="22"/>
          <w:szCs w:val="22"/>
        </w:rPr>
        <w:t xml:space="preserve">Im Rahmen der sogenannten systematischen Begehungen mit Beteiligung des </w:t>
      </w:r>
      <w:r w:rsidRPr="00A30451">
        <w:rPr>
          <w:sz w:val="22"/>
          <w:szCs w:val="22"/>
          <w:u w:val="dotted"/>
        </w:rPr>
        <w:t>Arbeitss</w:t>
      </w:r>
      <w:r w:rsidRPr="00A30451">
        <w:rPr>
          <w:sz w:val="22"/>
          <w:szCs w:val="22"/>
          <w:u w:val="dotted"/>
        </w:rPr>
        <w:t>i</w:t>
      </w:r>
      <w:r w:rsidRPr="00A30451">
        <w:rPr>
          <w:sz w:val="22"/>
          <w:szCs w:val="22"/>
          <w:u w:val="dotted"/>
        </w:rPr>
        <w:t>cherheitstechnischen- und Arbeitsmedizinischen Dienstes</w:t>
      </w:r>
      <w:r w:rsidRPr="00A30451">
        <w:rPr>
          <w:sz w:val="22"/>
          <w:szCs w:val="22"/>
        </w:rPr>
        <w:t xml:space="preserve"> sowie des Personalrats und natü</w:t>
      </w:r>
      <w:r w:rsidRPr="00A30451">
        <w:rPr>
          <w:sz w:val="22"/>
          <w:szCs w:val="22"/>
        </w:rPr>
        <w:t>r</w:t>
      </w:r>
      <w:r>
        <w:rPr>
          <w:sz w:val="22"/>
          <w:szCs w:val="22"/>
        </w:rPr>
        <w:t>lich den Führungs</w:t>
      </w:r>
      <w:r w:rsidRPr="00A30451">
        <w:rPr>
          <w:sz w:val="22"/>
          <w:szCs w:val="22"/>
        </w:rPr>
        <w:t>kräften der Dienststelle wurden im 4. Quartal die Arbeitsplätze der Abte</w:t>
      </w:r>
      <w:r w:rsidRPr="00A30451">
        <w:rPr>
          <w:sz w:val="22"/>
          <w:szCs w:val="22"/>
        </w:rPr>
        <w:t>i</w:t>
      </w:r>
      <w:r>
        <w:rPr>
          <w:sz w:val="22"/>
          <w:szCs w:val="22"/>
        </w:rPr>
        <w:t xml:space="preserve">lungen </w:t>
      </w:r>
      <w:r w:rsidRPr="00A30451">
        <w:rPr>
          <w:sz w:val="22"/>
          <w:szCs w:val="22"/>
        </w:rPr>
        <w:t xml:space="preserve">in Augenschein genommen. Hierbei wurden nur geringe Mängel </w:t>
      </w:r>
      <w:r>
        <w:rPr>
          <w:sz w:val="22"/>
          <w:szCs w:val="22"/>
        </w:rPr>
        <w:t xml:space="preserve">festgestellt. </w:t>
      </w:r>
      <w:r w:rsidRPr="00A30451">
        <w:rPr>
          <w:sz w:val="22"/>
          <w:szCs w:val="22"/>
        </w:rPr>
        <w:t>Als Schwerpunkt bei der Unterweisung der Beschäftigten wurde bei</w:t>
      </w:r>
      <w:r>
        <w:rPr>
          <w:sz w:val="22"/>
          <w:szCs w:val="22"/>
        </w:rPr>
        <w:t>m Kanalbetrieb ein praxisor</w:t>
      </w:r>
      <w:r>
        <w:rPr>
          <w:sz w:val="22"/>
          <w:szCs w:val="22"/>
        </w:rPr>
        <w:t>i</w:t>
      </w:r>
      <w:r>
        <w:rPr>
          <w:sz w:val="22"/>
          <w:szCs w:val="22"/>
        </w:rPr>
        <w:t>en</w:t>
      </w:r>
      <w:r w:rsidRPr="00A30451">
        <w:rPr>
          <w:sz w:val="22"/>
          <w:szCs w:val="22"/>
        </w:rPr>
        <w:t>tierter Rundlauf an mehreren Stationen zu verschiedenen Themen der Arbeitssi</w:t>
      </w:r>
      <w:r>
        <w:rPr>
          <w:sz w:val="22"/>
          <w:szCs w:val="22"/>
        </w:rPr>
        <w:t>cherheit durchgeführt.</w:t>
      </w:r>
    </w:p>
    <w:p w:rsidR="00D114A8" w:rsidRPr="00614052" w:rsidRDefault="00D114A8" w:rsidP="00614052">
      <w:pPr>
        <w:jc w:val="both"/>
        <w:rPr>
          <w:sz w:val="22"/>
        </w:rPr>
      </w:pPr>
    </w:p>
    <w:p w:rsidR="00203E0C" w:rsidRPr="006B0CCA" w:rsidRDefault="00203E0C" w:rsidP="00203E0C">
      <w:pPr>
        <w:pStyle w:val="berschrift5"/>
      </w:pPr>
      <w:r w:rsidRPr="006B0CCA">
        <w:t>Bereich Organisation und Prozesse</w:t>
      </w:r>
    </w:p>
    <w:p w:rsidR="008956BB" w:rsidRDefault="005D68D9" w:rsidP="005D68D9">
      <w:pPr>
        <w:jc w:val="both"/>
        <w:rPr>
          <w:sz w:val="22"/>
          <w:szCs w:val="22"/>
        </w:rPr>
      </w:pPr>
      <w:r w:rsidRPr="005D68D9">
        <w:rPr>
          <w:sz w:val="22"/>
          <w:szCs w:val="22"/>
        </w:rPr>
        <w:t xml:space="preserve">Die Umsetzung der </w:t>
      </w:r>
      <w:r w:rsidRPr="005D68D9">
        <w:rPr>
          <w:sz w:val="22"/>
          <w:szCs w:val="22"/>
          <w:u w:val="dotted"/>
        </w:rPr>
        <w:t>strategischen Handlungsfelder</w:t>
      </w:r>
      <w:r w:rsidRPr="005D68D9">
        <w:rPr>
          <w:sz w:val="22"/>
          <w:szCs w:val="22"/>
        </w:rPr>
        <w:t xml:space="preserve"> der verschiedenen Strategiebereiche </w:t>
      </w:r>
      <w:proofErr w:type="gramStart"/>
      <w:r w:rsidRPr="005D68D9">
        <w:rPr>
          <w:sz w:val="22"/>
          <w:szCs w:val="22"/>
        </w:rPr>
        <w:t>sind</w:t>
      </w:r>
      <w:proofErr w:type="gramEnd"/>
      <w:r w:rsidRPr="005D68D9">
        <w:rPr>
          <w:sz w:val="22"/>
          <w:szCs w:val="22"/>
        </w:rPr>
        <w:t xml:space="preserve"> in Bearbeitung und </w:t>
      </w:r>
      <w:r>
        <w:rPr>
          <w:sz w:val="22"/>
          <w:szCs w:val="22"/>
        </w:rPr>
        <w:t>wurden</w:t>
      </w:r>
      <w:r w:rsidRPr="005D68D9">
        <w:rPr>
          <w:sz w:val="22"/>
          <w:szCs w:val="22"/>
        </w:rPr>
        <w:t xml:space="preserve"> </w:t>
      </w:r>
      <w:r>
        <w:rPr>
          <w:sz w:val="22"/>
          <w:szCs w:val="22"/>
        </w:rPr>
        <w:t>quartalsweise</w:t>
      </w:r>
      <w:r w:rsidRPr="005D68D9">
        <w:rPr>
          <w:sz w:val="22"/>
          <w:szCs w:val="22"/>
        </w:rPr>
        <w:t xml:space="preserve"> in einem Zieleraster hinsichtlich Stand und Bewe</w:t>
      </w:r>
      <w:r w:rsidRPr="005D68D9">
        <w:rPr>
          <w:sz w:val="22"/>
          <w:szCs w:val="22"/>
        </w:rPr>
        <w:t>r</w:t>
      </w:r>
      <w:r>
        <w:rPr>
          <w:sz w:val="22"/>
          <w:szCs w:val="22"/>
        </w:rPr>
        <w:t xml:space="preserve">tung dokumentiert. </w:t>
      </w:r>
      <w:r w:rsidRPr="005D68D9">
        <w:rPr>
          <w:sz w:val="22"/>
          <w:szCs w:val="22"/>
        </w:rPr>
        <w:t>Im Laufe des 4. Quartals fand am 06. November ein</w:t>
      </w:r>
      <w:r>
        <w:rPr>
          <w:sz w:val="22"/>
          <w:szCs w:val="22"/>
        </w:rPr>
        <w:t xml:space="preserve"> </w:t>
      </w:r>
      <w:r w:rsidRPr="005D68D9">
        <w:rPr>
          <w:sz w:val="22"/>
          <w:szCs w:val="22"/>
        </w:rPr>
        <w:t xml:space="preserve">Transfertag statt. </w:t>
      </w:r>
    </w:p>
    <w:p w:rsidR="00C16FD2" w:rsidRDefault="00203E0C" w:rsidP="000D35EA">
      <w:pPr>
        <w:jc w:val="both"/>
        <w:rPr>
          <w:sz w:val="22"/>
          <w:szCs w:val="22"/>
        </w:rPr>
      </w:pPr>
      <w:r>
        <w:rPr>
          <w:sz w:val="22"/>
          <w:szCs w:val="22"/>
        </w:rPr>
        <w:t xml:space="preserve">Das </w:t>
      </w:r>
      <w:r w:rsidRPr="000D35EA">
        <w:rPr>
          <w:sz w:val="22"/>
          <w:szCs w:val="22"/>
          <w:u w:val="dotted"/>
        </w:rPr>
        <w:t>Qualitäts- un</w:t>
      </w:r>
      <w:r w:rsidR="00664F27" w:rsidRPr="000D35EA">
        <w:rPr>
          <w:sz w:val="22"/>
          <w:szCs w:val="22"/>
          <w:u w:val="dotted"/>
        </w:rPr>
        <w:t>d Umweltmanagement</w:t>
      </w:r>
      <w:r w:rsidR="00664F27">
        <w:rPr>
          <w:sz w:val="22"/>
          <w:szCs w:val="22"/>
        </w:rPr>
        <w:t xml:space="preserve"> </w:t>
      </w:r>
      <w:r w:rsidR="000D35EA">
        <w:rPr>
          <w:sz w:val="22"/>
          <w:szCs w:val="22"/>
        </w:rPr>
        <w:t>(QUMS) der SES w</w:t>
      </w:r>
      <w:r w:rsidR="00C16FD2">
        <w:rPr>
          <w:sz w:val="22"/>
          <w:szCs w:val="22"/>
        </w:rPr>
        <w:t>urde auch in 2012</w:t>
      </w:r>
      <w:r w:rsidR="00664F27">
        <w:rPr>
          <w:sz w:val="22"/>
          <w:szCs w:val="22"/>
        </w:rPr>
        <w:t xml:space="preserve"> </w:t>
      </w:r>
      <w:r w:rsidR="00C16FD2">
        <w:rPr>
          <w:sz w:val="22"/>
          <w:szCs w:val="22"/>
        </w:rPr>
        <w:t>aktiv weite</w:t>
      </w:r>
      <w:r w:rsidR="00C16FD2">
        <w:rPr>
          <w:sz w:val="22"/>
          <w:szCs w:val="22"/>
        </w:rPr>
        <w:t>r</w:t>
      </w:r>
      <w:r w:rsidR="00C16FD2">
        <w:rPr>
          <w:sz w:val="22"/>
          <w:szCs w:val="22"/>
        </w:rPr>
        <w:t>betrieben und durch die</w:t>
      </w:r>
      <w:r w:rsidR="008D5497">
        <w:rPr>
          <w:sz w:val="22"/>
          <w:szCs w:val="22"/>
        </w:rPr>
        <w:t xml:space="preserve"> </w:t>
      </w:r>
      <w:r w:rsidR="00C16FD2">
        <w:rPr>
          <w:sz w:val="22"/>
          <w:szCs w:val="22"/>
        </w:rPr>
        <w:t xml:space="preserve">dritte </w:t>
      </w:r>
      <w:r w:rsidR="000D35EA" w:rsidRPr="000D35EA">
        <w:rPr>
          <w:sz w:val="22"/>
          <w:szCs w:val="22"/>
        </w:rPr>
        <w:t xml:space="preserve">Re-Zertifizierung </w:t>
      </w:r>
      <w:r w:rsidR="008D5497">
        <w:rPr>
          <w:sz w:val="22"/>
          <w:szCs w:val="22"/>
        </w:rPr>
        <w:t xml:space="preserve">erneut </w:t>
      </w:r>
      <w:r w:rsidR="00C16FD2">
        <w:rPr>
          <w:sz w:val="22"/>
          <w:szCs w:val="22"/>
        </w:rPr>
        <w:t>erfolgreich bestätigt.</w:t>
      </w:r>
    </w:p>
    <w:p w:rsidR="00D114A8" w:rsidRPr="00614052" w:rsidRDefault="00D114A8" w:rsidP="00D1093D">
      <w:pPr>
        <w:jc w:val="both"/>
        <w:rPr>
          <w:sz w:val="22"/>
        </w:rPr>
      </w:pPr>
    </w:p>
    <w:p w:rsidR="001C16FC" w:rsidRPr="006B0CCA" w:rsidRDefault="001C16FC" w:rsidP="001C16FC">
      <w:pPr>
        <w:pStyle w:val="berschrift5"/>
      </w:pPr>
      <w:r w:rsidRPr="006B0CCA">
        <w:t>Bereich Mitarbeiter und Führung</w:t>
      </w:r>
    </w:p>
    <w:p w:rsidR="00B84FB2" w:rsidRDefault="00B84FB2" w:rsidP="00B917F9">
      <w:pPr>
        <w:jc w:val="both"/>
        <w:rPr>
          <w:sz w:val="22"/>
        </w:rPr>
      </w:pPr>
      <w:r>
        <w:rPr>
          <w:sz w:val="22"/>
        </w:rPr>
        <w:t>Zum Stand 31.12.2012</w:t>
      </w:r>
      <w:r w:rsidR="000D7068">
        <w:rPr>
          <w:sz w:val="22"/>
        </w:rPr>
        <w:t xml:space="preserve"> wurden</w:t>
      </w:r>
      <w:r w:rsidR="008F7E93" w:rsidRPr="008F7E93">
        <w:rPr>
          <w:sz w:val="22"/>
        </w:rPr>
        <w:t xml:space="preserve"> nicht mehr Stellen bewirtschaftet als im Stellenplan vorgese</w:t>
      </w:r>
      <w:r w:rsidR="001F1C70">
        <w:rPr>
          <w:sz w:val="22"/>
        </w:rPr>
        <w:softHyphen/>
      </w:r>
      <w:r w:rsidR="008F7E93" w:rsidRPr="008F7E93">
        <w:rPr>
          <w:sz w:val="22"/>
        </w:rPr>
        <w:t>hen</w:t>
      </w:r>
      <w:r w:rsidR="008F7E93">
        <w:rPr>
          <w:sz w:val="22"/>
        </w:rPr>
        <w:t xml:space="preserve"> </w:t>
      </w:r>
      <w:r w:rsidR="008F7E93" w:rsidRPr="008F7E93">
        <w:rPr>
          <w:sz w:val="22"/>
        </w:rPr>
        <w:t>sind.</w:t>
      </w:r>
      <w:r w:rsidR="008F7E93">
        <w:rPr>
          <w:sz w:val="22"/>
        </w:rPr>
        <w:t xml:space="preserve"> </w:t>
      </w:r>
      <w:r w:rsidRPr="00B84FB2">
        <w:rPr>
          <w:sz w:val="22"/>
        </w:rPr>
        <w:t xml:space="preserve">Bei den letzten </w:t>
      </w:r>
      <w:r>
        <w:rPr>
          <w:sz w:val="22"/>
        </w:rPr>
        <w:t>Stellena</w:t>
      </w:r>
      <w:r w:rsidRPr="00B84FB2">
        <w:rPr>
          <w:sz w:val="22"/>
        </w:rPr>
        <w:t>usschreibungen im Elektrobereich hat sich gezeigt, dass die Gewinnung</w:t>
      </w:r>
      <w:r>
        <w:rPr>
          <w:sz w:val="22"/>
        </w:rPr>
        <w:t xml:space="preserve"> </w:t>
      </w:r>
      <w:r w:rsidRPr="00B84FB2">
        <w:rPr>
          <w:sz w:val="22"/>
        </w:rPr>
        <w:t>geeigneter Mitarbeiter (Ingenieure und auch Fachkräfte) schwierig bleibt.</w:t>
      </w:r>
      <w:r>
        <w:rPr>
          <w:sz w:val="22"/>
        </w:rPr>
        <w:t xml:space="preserve"> </w:t>
      </w:r>
      <w:r w:rsidRPr="00B84FB2">
        <w:rPr>
          <w:sz w:val="22"/>
        </w:rPr>
        <w:t>Die Anzahl der Rückmeldungen bei Stellenausschreibungen in den anderen Bereichen ist au</w:t>
      </w:r>
      <w:r w:rsidRPr="00B84FB2">
        <w:rPr>
          <w:sz w:val="22"/>
        </w:rPr>
        <w:t>s</w:t>
      </w:r>
      <w:r w:rsidRPr="00B84FB2">
        <w:rPr>
          <w:sz w:val="22"/>
        </w:rPr>
        <w:t>reichend.</w:t>
      </w:r>
      <w:r w:rsidR="00B917F9">
        <w:rPr>
          <w:sz w:val="22"/>
        </w:rPr>
        <w:t xml:space="preserve"> </w:t>
      </w:r>
      <w:r w:rsidR="00B917F9" w:rsidRPr="00B917F9">
        <w:rPr>
          <w:sz w:val="22"/>
        </w:rPr>
        <w:t xml:space="preserve">Die Altersstruktur </w:t>
      </w:r>
      <w:r w:rsidR="00B917F9">
        <w:rPr>
          <w:sz w:val="22"/>
        </w:rPr>
        <w:t xml:space="preserve">der SES </w:t>
      </w:r>
      <w:r w:rsidR="00B917F9" w:rsidRPr="00B917F9">
        <w:rPr>
          <w:sz w:val="22"/>
        </w:rPr>
        <w:t>ist durch eine ausgewogene Verteilung gekennzeichnet und ist somit als unkritisch einzuschätzen.</w:t>
      </w:r>
    </w:p>
    <w:p w:rsidR="00D114A8" w:rsidRDefault="00D114A8" w:rsidP="000D7068">
      <w:pPr>
        <w:jc w:val="both"/>
        <w:rPr>
          <w:sz w:val="22"/>
        </w:rPr>
      </w:pPr>
    </w:p>
    <w:p w:rsidR="001C16FC" w:rsidRPr="008257B8" w:rsidRDefault="001C16FC" w:rsidP="001C16FC">
      <w:pPr>
        <w:pStyle w:val="berschrift5"/>
      </w:pPr>
      <w:r w:rsidRPr="008257B8">
        <w:t>Einschätzung des Gesamtrisikos</w:t>
      </w:r>
    </w:p>
    <w:p w:rsidR="00CA2258" w:rsidRDefault="001C16FC" w:rsidP="00CA2258">
      <w:pPr>
        <w:jc w:val="both"/>
        <w:rPr>
          <w:sz w:val="22"/>
        </w:rPr>
      </w:pPr>
      <w:r w:rsidRPr="008257B8">
        <w:rPr>
          <w:sz w:val="22"/>
        </w:rPr>
        <w:t xml:space="preserve">Nach den </w:t>
      </w:r>
      <w:r>
        <w:rPr>
          <w:sz w:val="22"/>
        </w:rPr>
        <w:t>ausgewerteten</w:t>
      </w:r>
      <w:r w:rsidRPr="008257B8">
        <w:rPr>
          <w:sz w:val="22"/>
        </w:rPr>
        <w:t xml:space="preserve"> Informationen und den Aussagen des Chancen- und Risikoman</w:t>
      </w:r>
      <w:r w:rsidRPr="008257B8">
        <w:rPr>
          <w:sz w:val="22"/>
        </w:rPr>
        <w:t>a</w:t>
      </w:r>
      <w:r w:rsidRPr="008257B8">
        <w:rPr>
          <w:sz w:val="22"/>
        </w:rPr>
        <w:t xml:space="preserve">gements </w:t>
      </w:r>
      <w:r w:rsidR="00B917F9">
        <w:rPr>
          <w:sz w:val="22"/>
        </w:rPr>
        <w:t>bestanden in 2012</w:t>
      </w:r>
      <w:r w:rsidR="00870781">
        <w:rPr>
          <w:sz w:val="22"/>
        </w:rPr>
        <w:t xml:space="preserve"> </w:t>
      </w:r>
      <w:r w:rsidR="00CA2258" w:rsidRPr="003E62E5">
        <w:rPr>
          <w:sz w:val="22"/>
        </w:rPr>
        <w:t xml:space="preserve">keine Risiken, </w:t>
      </w:r>
      <w:r w:rsidR="00870781">
        <w:rPr>
          <w:sz w:val="22"/>
        </w:rPr>
        <w:t>die den</w:t>
      </w:r>
      <w:r w:rsidR="00CA2258" w:rsidRPr="003E62E5">
        <w:rPr>
          <w:sz w:val="22"/>
        </w:rPr>
        <w:t xml:space="preserve"> Fortbestand des Eigenbetriebs Stadten</w:t>
      </w:r>
      <w:r w:rsidR="00CA2258" w:rsidRPr="003E62E5">
        <w:rPr>
          <w:sz w:val="22"/>
        </w:rPr>
        <w:t>t</w:t>
      </w:r>
      <w:r w:rsidR="00CA2258" w:rsidRPr="003E62E5">
        <w:rPr>
          <w:sz w:val="22"/>
        </w:rPr>
        <w:t>wässerung Stuttgart ge</w:t>
      </w:r>
      <w:r w:rsidR="00870781">
        <w:rPr>
          <w:sz w:val="22"/>
        </w:rPr>
        <w:t>fährdete</w:t>
      </w:r>
      <w:r w:rsidR="002C3A98">
        <w:rPr>
          <w:sz w:val="22"/>
        </w:rPr>
        <w:t>n</w:t>
      </w:r>
      <w:r w:rsidR="00CA2258" w:rsidRPr="003E62E5">
        <w:rPr>
          <w:sz w:val="22"/>
        </w:rPr>
        <w:t>.</w:t>
      </w:r>
    </w:p>
    <w:p w:rsidR="00C65387" w:rsidRDefault="00C65387" w:rsidP="00CA2258">
      <w:pPr>
        <w:jc w:val="both"/>
        <w:rPr>
          <w:sz w:val="22"/>
        </w:rPr>
      </w:pPr>
    </w:p>
    <w:p w:rsidR="001C16FC" w:rsidRPr="008257B8" w:rsidRDefault="001C16FC" w:rsidP="001C16FC">
      <w:pPr>
        <w:jc w:val="both"/>
        <w:rPr>
          <w:b/>
          <w:caps/>
          <w:sz w:val="22"/>
        </w:rPr>
      </w:pPr>
      <w:r w:rsidRPr="00F4349E">
        <w:rPr>
          <w:b/>
          <w:caps/>
          <w:sz w:val="22"/>
        </w:rPr>
        <w:t>Prognosebericht</w:t>
      </w:r>
    </w:p>
    <w:p w:rsidR="005826E1" w:rsidRDefault="004F2D49" w:rsidP="00D1093D">
      <w:pPr>
        <w:jc w:val="both"/>
        <w:rPr>
          <w:sz w:val="22"/>
          <w:szCs w:val="22"/>
        </w:rPr>
      </w:pPr>
      <w:r>
        <w:rPr>
          <w:sz w:val="22"/>
          <w:szCs w:val="22"/>
        </w:rPr>
        <w:t>D</w:t>
      </w:r>
      <w:r w:rsidR="00FE52DD" w:rsidRPr="00FE52DD">
        <w:rPr>
          <w:sz w:val="22"/>
          <w:szCs w:val="22"/>
        </w:rPr>
        <w:t xml:space="preserve">ie SES </w:t>
      </w:r>
      <w:r>
        <w:rPr>
          <w:sz w:val="22"/>
          <w:szCs w:val="22"/>
        </w:rPr>
        <w:t xml:space="preserve">wird </w:t>
      </w:r>
      <w:r w:rsidR="00FE52DD" w:rsidRPr="00FE52DD">
        <w:rPr>
          <w:sz w:val="22"/>
          <w:szCs w:val="22"/>
        </w:rPr>
        <w:t xml:space="preserve">auch </w:t>
      </w:r>
      <w:r>
        <w:rPr>
          <w:sz w:val="22"/>
          <w:szCs w:val="22"/>
        </w:rPr>
        <w:t>zukünftig</w:t>
      </w:r>
      <w:r w:rsidR="007477D5">
        <w:rPr>
          <w:sz w:val="22"/>
          <w:szCs w:val="22"/>
        </w:rPr>
        <w:t xml:space="preserve"> </w:t>
      </w:r>
      <w:r w:rsidR="00987B1A">
        <w:rPr>
          <w:sz w:val="22"/>
          <w:szCs w:val="22"/>
        </w:rPr>
        <w:t>nachhaltig</w:t>
      </w:r>
      <w:r w:rsidR="00FE52DD" w:rsidRPr="00FE52DD">
        <w:rPr>
          <w:sz w:val="22"/>
          <w:szCs w:val="22"/>
        </w:rPr>
        <w:t xml:space="preserve"> </w:t>
      </w:r>
      <w:r w:rsidR="00987B1A">
        <w:rPr>
          <w:sz w:val="22"/>
          <w:szCs w:val="22"/>
        </w:rPr>
        <w:t xml:space="preserve">für die Umwelt und die Stuttgarter Bürger </w:t>
      </w:r>
      <w:r w:rsidR="00FE52DD" w:rsidRPr="00FE52DD">
        <w:rPr>
          <w:sz w:val="22"/>
          <w:szCs w:val="22"/>
        </w:rPr>
        <w:t>tät</w:t>
      </w:r>
      <w:r>
        <w:rPr>
          <w:sz w:val="22"/>
          <w:szCs w:val="22"/>
        </w:rPr>
        <w:t xml:space="preserve">ig sein. </w:t>
      </w:r>
      <w:r w:rsidR="003F5E0D">
        <w:rPr>
          <w:sz w:val="22"/>
          <w:szCs w:val="22"/>
        </w:rPr>
        <w:t>Für 201</w:t>
      </w:r>
      <w:r w:rsidR="00987B1A">
        <w:rPr>
          <w:sz w:val="22"/>
          <w:szCs w:val="22"/>
        </w:rPr>
        <w:t>3</w:t>
      </w:r>
      <w:r w:rsidR="003F5E0D">
        <w:rPr>
          <w:sz w:val="22"/>
          <w:szCs w:val="22"/>
        </w:rPr>
        <w:t xml:space="preserve"> sind hierfür</w:t>
      </w:r>
      <w:r w:rsidR="001C16FC">
        <w:rPr>
          <w:sz w:val="22"/>
          <w:szCs w:val="22"/>
        </w:rPr>
        <w:t xml:space="preserve"> Investitionen in Hö</w:t>
      </w:r>
      <w:r w:rsidR="006369DE">
        <w:rPr>
          <w:sz w:val="22"/>
          <w:szCs w:val="22"/>
        </w:rPr>
        <w:t xml:space="preserve">he von </w:t>
      </w:r>
      <w:r w:rsidR="00987B1A">
        <w:rPr>
          <w:sz w:val="22"/>
          <w:szCs w:val="22"/>
        </w:rPr>
        <w:t>über 40</w:t>
      </w:r>
      <w:r w:rsidR="003F5E0D">
        <w:rPr>
          <w:sz w:val="22"/>
          <w:szCs w:val="22"/>
        </w:rPr>
        <w:t xml:space="preserve"> </w:t>
      </w:r>
      <w:r w:rsidR="001C16FC">
        <w:rPr>
          <w:sz w:val="22"/>
          <w:szCs w:val="22"/>
        </w:rPr>
        <w:t>Mio. EUR und Aufwen</w:t>
      </w:r>
      <w:r w:rsidR="005826E1">
        <w:rPr>
          <w:sz w:val="22"/>
          <w:szCs w:val="22"/>
        </w:rPr>
        <w:t xml:space="preserve">dungen von </w:t>
      </w:r>
      <w:r w:rsidR="00987B1A">
        <w:rPr>
          <w:sz w:val="22"/>
          <w:szCs w:val="22"/>
        </w:rPr>
        <w:t>über 108</w:t>
      </w:r>
      <w:r w:rsidR="005826E1">
        <w:rPr>
          <w:sz w:val="22"/>
          <w:szCs w:val="22"/>
        </w:rPr>
        <w:t xml:space="preserve"> Mio. EUR </w:t>
      </w:r>
      <w:r w:rsidR="001C16FC">
        <w:rPr>
          <w:sz w:val="22"/>
          <w:szCs w:val="22"/>
        </w:rPr>
        <w:t xml:space="preserve">vorgesehen. Daneben </w:t>
      </w:r>
      <w:r w:rsidR="005826E1">
        <w:rPr>
          <w:sz w:val="22"/>
          <w:szCs w:val="22"/>
        </w:rPr>
        <w:t xml:space="preserve">ist eine </w:t>
      </w:r>
      <w:r w:rsidR="00183AF3">
        <w:rPr>
          <w:sz w:val="22"/>
          <w:szCs w:val="22"/>
        </w:rPr>
        <w:t>Zuführung</w:t>
      </w:r>
      <w:r w:rsidR="001C16FC">
        <w:rPr>
          <w:sz w:val="22"/>
          <w:szCs w:val="22"/>
        </w:rPr>
        <w:t xml:space="preserve"> zur </w:t>
      </w:r>
      <w:r w:rsidR="005826E1">
        <w:rPr>
          <w:sz w:val="22"/>
          <w:szCs w:val="22"/>
        </w:rPr>
        <w:t>Allgemeinen R</w:t>
      </w:r>
      <w:r w:rsidR="001C16FC">
        <w:rPr>
          <w:sz w:val="22"/>
          <w:szCs w:val="22"/>
        </w:rPr>
        <w:t>ückla</w:t>
      </w:r>
      <w:r w:rsidR="00987B1A">
        <w:rPr>
          <w:sz w:val="22"/>
          <w:szCs w:val="22"/>
        </w:rPr>
        <w:t>ge in Höhe von 6</w:t>
      </w:r>
      <w:r w:rsidR="00890303">
        <w:rPr>
          <w:sz w:val="22"/>
          <w:szCs w:val="22"/>
        </w:rPr>
        <w:t>,2</w:t>
      </w:r>
      <w:r w:rsidR="005826E1">
        <w:rPr>
          <w:sz w:val="22"/>
          <w:szCs w:val="22"/>
        </w:rPr>
        <w:t xml:space="preserve"> Mio. EUR </w:t>
      </w:r>
      <w:r w:rsidR="001C16FC">
        <w:rPr>
          <w:sz w:val="22"/>
          <w:szCs w:val="22"/>
        </w:rPr>
        <w:t xml:space="preserve">eingeplant. </w:t>
      </w:r>
      <w:r w:rsidR="00987B1A">
        <w:rPr>
          <w:sz w:val="22"/>
          <w:szCs w:val="22"/>
        </w:rPr>
        <w:t>Stand 1. Quartal 2013</w:t>
      </w:r>
      <w:r w:rsidR="005826E1">
        <w:rPr>
          <w:sz w:val="22"/>
          <w:szCs w:val="22"/>
        </w:rPr>
        <w:t xml:space="preserve"> ist </w:t>
      </w:r>
      <w:r w:rsidR="00987B1A">
        <w:rPr>
          <w:sz w:val="22"/>
          <w:szCs w:val="22"/>
        </w:rPr>
        <w:t>das eingeplante Ergebnis auch tatsächlich erreichbar</w:t>
      </w:r>
      <w:r w:rsidR="005826E1">
        <w:rPr>
          <w:sz w:val="22"/>
          <w:szCs w:val="22"/>
        </w:rPr>
        <w:t>.</w:t>
      </w:r>
    </w:p>
    <w:p w:rsidR="003916BD" w:rsidRDefault="003916BD" w:rsidP="00D1093D">
      <w:pPr>
        <w:jc w:val="both"/>
        <w:rPr>
          <w:sz w:val="22"/>
        </w:rPr>
      </w:pPr>
    </w:p>
    <w:p w:rsidR="005826E1" w:rsidRDefault="001C16FC" w:rsidP="001C16FC">
      <w:pPr>
        <w:jc w:val="both"/>
        <w:rPr>
          <w:sz w:val="22"/>
        </w:rPr>
      </w:pPr>
      <w:r w:rsidRPr="003E62E5">
        <w:rPr>
          <w:sz w:val="22"/>
        </w:rPr>
        <w:t>Stuttgart,</w:t>
      </w:r>
      <w:r w:rsidR="00147CA0">
        <w:rPr>
          <w:sz w:val="22"/>
        </w:rPr>
        <w:t xml:space="preserve"> 26. Juni</w:t>
      </w:r>
      <w:r w:rsidR="00046A78">
        <w:rPr>
          <w:sz w:val="22"/>
        </w:rPr>
        <w:t xml:space="preserve"> 2013</w:t>
      </w:r>
    </w:p>
    <w:p w:rsidR="00614052" w:rsidRPr="00614052" w:rsidRDefault="00614052" w:rsidP="00614052">
      <w:pPr>
        <w:spacing w:line="120" w:lineRule="auto"/>
        <w:jc w:val="both"/>
        <w:rPr>
          <w:sz w:val="22"/>
        </w:rPr>
      </w:pPr>
    </w:p>
    <w:p w:rsidR="001C16FC" w:rsidRPr="00614052" w:rsidRDefault="00A2174D" w:rsidP="001C16FC">
      <w:pPr>
        <w:jc w:val="both"/>
        <w:rPr>
          <w:i/>
          <w:sz w:val="20"/>
          <w:szCs w:val="20"/>
        </w:rPr>
      </w:pPr>
      <w:r w:rsidRPr="00614052">
        <w:rPr>
          <w:i/>
          <w:sz w:val="20"/>
          <w:szCs w:val="20"/>
        </w:rPr>
        <w:t>(gez.)</w:t>
      </w:r>
      <w:r w:rsidRPr="00614052">
        <w:rPr>
          <w:i/>
          <w:sz w:val="20"/>
          <w:szCs w:val="20"/>
        </w:rPr>
        <w:tab/>
      </w:r>
      <w:r w:rsidRPr="00614052">
        <w:rPr>
          <w:i/>
          <w:sz w:val="20"/>
          <w:szCs w:val="20"/>
        </w:rPr>
        <w:tab/>
      </w:r>
      <w:r w:rsidRPr="00614052">
        <w:rPr>
          <w:i/>
          <w:sz w:val="20"/>
          <w:szCs w:val="20"/>
        </w:rPr>
        <w:tab/>
      </w:r>
      <w:r w:rsidRPr="00614052">
        <w:rPr>
          <w:i/>
          <w:sz w:val="20"/>
          <w:szCs w:val="20"/>
        </w:rPr>
        <w:tab/>
      </w:r>
      <w:r w:rsidRPr="00614052">
        <w:rPr>
          <w:i/>
          <w:sz w:val="20"/>
          <w:szCs w:val="20"/>
        </w:rPr>
        <w:tab/>
      </w:r>
      <w:r w:rsidRPr="00614052">
        <w:rPr>
          <w:i/>
          <w:sz w:val="20"/>
          <w:szCs w:val="20"/>
        </w:rPr>
        <w:tab/>
        <w:t>(gez.)</w:t>
      </w:r>
    </w:p>
    <w:p w:rsidR="001C16FC" w:rsidRPr="003E62E5" w:rsidRDefault="001C16FC" w:rsidP="001C16FC">
      <w:pPr>
        <w:jc w:val="both"/>
        <w:rPr>
          <w:sz w:val="22"/>
        </w:rPr>
      </w:pPr>
      <w:r w:rsidRPr="003E62E5">
        <w:rPr>
          <w:sz w:val="22"/>
        </w:rPr>
        <w:t>Erster Betriebsleiter</w:t>
      </w:r>
      <w:r w:rsidR="005826E1" w:rsidRPr="005826E1">
        <w:rPr>
          <w:sz w:val="22"/>
          <w:szCs w:val="22"/>
        </w:rPr>
        <w:t xml:space="preserve"> </w:t>
      </w:r>
      <w:r w:rsidR="005826E1">
        <w:rPr>
          <w:sz w:val="22"/>
          <w:szCs w:val="22"/>
        </w:rPr>
        <w:tab/>
      </w:r>
      <w:r w:rsidR="005826E1">
        <w:rPr>
          <w:sz w:val="22"/>
          <w:szCs w:val="22"/>
        </w:rPr>
        <w:tab/>
      </w:r>
      <w:r w:rsidR="005826E1">
        <w:rPr>
          <w:sz w:val="22"/>
          <w:szCs w:val="22"/>
        </w:rPr>
        <w:tab/>
      </w:r>
      <w:r w:rsidR="005826E1">
        <w:rPr>
          <w:sz w:val="22"/>
          <w:szCs w:val="22"/>
        </w:rPr>
        <w:tab/>
      </w:r>
      <w:r w:rsidR="005826E1" w:rsidRPr="003E62E5">
        <w:rPr>
          <w:sz w:val="22"/>
          <w:szCs w:val="22"/>
        </w:rPr>
        <w:t>Kaufmännischer Betriebsleiter</w:t>
      </w:r>
    </w:p>
    <w:p w:rsidR="00E82279" w:rsidRPr="00614052" w:rsidRDefault="001C16FC" w:rsidP="00614052">
      <w:pPr>
        <w:jc w:val="both"/>
        <w:rPr>
          <w:sz w:val="22"/>
          <w:szCs w:val="22"/>
        </w:rPr>
      </w:pPr>
      <w:r w:rsidRPr="005826E1">
        <w:rPr>
          <w:sz w:val="22"/>
          <w:szCs w:val="22"/>
        </w:rPr>
        <w:t>Dipl.-Ing. Wolfgang Schanz</w:t>
      </w:r>
      <w:r w:rsidRPr="003E62E5">
        <w:t xml:space="preserve">                     </w:t>
      </w:r>
      <w:r w:rsidR="005826E1">
        <w:tab/>
      </w:r>
      <w:r w:rsidRPr="003E62E5">
        <w:rPr>
          <w:sz w:val="22"/>
          <w:szCs w:val="22"/>
        </w:rPr>
        <w:t xml:space="preserve">Dipl.-Kaufm. Frank </w:t>
      </w:r>
      <w:proofErr w:type="spellStart"/>
      <w:r w:rsidRPr="003E62E5">
        <w:rPr>
          <w:sz w:val="22"/>
          <w:szCs w:val="22"/>
        </w:rPr>
        <w:t>Endrich</w:t>
      </w:r>
      <w:proofErr w:type="spellEnd"/>
    </w:p>
    <w:sectPr w:rsidR="00E82279" w:rsidRPr="00614052" w:rsidSect="00A56464">
      <w:headerReference w:type="default" r:id="rId24"/>
      <w:footerReference w:type="even" r:id="rId25"/>
      <w:footerReference w:type="default" r:id="rId26"/>
      <w:pgSz w:w="11906" w:h="16838" w:code="9"/>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726" w:rsidRDefault="00953726">
      <w:r>
        <w:separator/>
      </w:r>
    </w:p>
  </w:endnote>
  <w:endnote w:type="continuationSeparator" w:id="0">
    <w:p w:rsidR="00953726" w:rsidRDefault="009537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26" w:rsidRDefault="006619CF">
    <w:pPr>
      <w:pStyle w:val="Fuzeile"/>
      <w:framePr w:wrap="around" w:vAnchor="text" w:hAnchor="margin" w:xAlign="center" w:y="1"/>
      <w:rPr>
        <w:rStyle w:val="Seitenzahl"/>
      </w:rPr>
    </w:pPr>
    <w:r>
      <w:rPr>
        <w:rStyle w:val="Seitenzahl"/>
      </w:rPr>
      <w:fldChar w:fldCharType="begin"/>
    </w:r>
    <w:r w:rsidR="00953726">
      <w:rPr>
        <w:rStyle w:val="Seitenzahl"/>
      </w:rPr>
      <w:instrText xml:space="preserve">PAGE  </w:instrText>
    </w:r>
    <w:r>
      <w:rPr>
        <w:rStyle w:val="Seitenzahl"/>
      </w:rPr>
      <w:fldChar w:fldCharType="separate"/>
    </w:r>
    <w:r w:rsidR="00AE3F63">
      <w:rPr>
        <w:rStyle w:val="Seitenzahl"/>
        <w:noProof/>
      </w:rPr>
      <w:t>12</w:t>
    </w:r>
    <w:r>
      <w:rPr>
        <w:rStyle w:val="Seitenzahl"/>
      </w:rPr>
      <w:fldChar w:fldCharType="end"/>
    </w:r>
  </w:p>
  <w:p w:rsidR="00953726" w:rsidRDefault="0095372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26" w:rsidRPr="00AE4591" w:rsidRDefault="00953726">
    <w:pPr>
      <w:pStyle w:val="Fuzeile"/>
      <w:rPr>
        <w:sz w:val="20"/>
      </w:rPr>
    </w:pPr>
    <w:r>
      <w:tab/>
    </w:r>
    <w:r w:rsidRPr="00AE4591">
      <w:rPr>
        <w:sz w:val="20"/>
      </w:rPr>
      <w:t xml:space="preserve">Seite </w:t>
    </w:r>
    <w:r w:rsidR="006619CF" w:rsidRPr="00AE4591">
      <w:rPr>
        <w:sz w:val="20"/>
      </w:rPr>
      <w:fldChar w:fldCharType="begin"/>
    </w:r>
    <w:r w:rsidRPr="00AE4591">
      <w:rPr>
        <w:sz w:val="20"/>
      </w:rPr>
      <w:instrText xml:space="preserve"> PAGE </w:instrText>
    </w:r>
    <w:r w:rsidR="006619CF" w:rsidRPr="00AE4591">
      <w:rPr>
        <w:sz w:val="20"/>
      </w:rPr>
      <w:fldChar w:fldCharType="separate"/>
    </w:r>
    <w:r w:rsidR="007E1BEB">
      <w:rPr>
        <w:noProof/>
        <w:sz w:val="20"/>
      </w:rPr>
      <w:t>2</w:t>
    </w:r>
    <w:r w:rsidR="006619CF" w:rsidRPr="00AE4591">
      <w:rPr>
        <w:sz w:val="20"/>
      </w:rPr>
      <w:fldChar w:fldCharType="end"/>
    </w:r>
    <w:r w:rsidRPr="00AE4591">
      <w:rPr>
        <w:sz w:val="20"/>
      </w:rPr>
      <w:t xml:space="preserve"> von </w:t>
    </w:r>
    <w:r w:rsidR="006619CF" w:rsidRPr="00AE4591">
      <w:rPr>
        <w:sz w:val="20"/>
      </w:rPr>
      <w:fldChar w:fldCharType="begin"/>
    </w:r>
    <w:r w:rsidRPr="00AE4591">
      <w:rPr>
        <w:sz w:val="20"/>
      </w:rPr>
      <w:instrText xml:space="preserve"> NUMPAGES </w:instrText>
    </w:r>
    <w:r w:rsidR="006619CF" w:rsidRPr="00AE4591">
      <w:rPr>
        <w:sz w:val="20"/>
      </w:rPr>
      <w:fldChar w:fldCharType="separate"/>
    </w:r>
    <w:r w:rsidR="007E1BEB">
      <w:rPr>
        <w:noProof/>
        <w:sz w:val="20"/>
      </w:rPr>
      <w:t>11</w:t>
    </w:r>
    <w:r w:rsidR="006619CF" w:rsidRPr="00AE4591">
      <w:rPr>
        <w:sz w:val="20"/>
      </w:rPr>
      <w:fldChar w:fldCharType="end"/>
    </w:r>
    <w:r w:rsidRPr="00AE4591">
      <w:rPr>
        <w:sz w:val="20"/>
      </w:rPr>
      <w:tab/>
    </w:r>
    <w:r w:rsidRPr="00AE4591">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726" w:rsidRDefault="00953726">
      <w:r>
        <w:separator/>
      </w:r>
    </w:p>
  </w:footnote>
  <w:footnote w:type="continuationSeparator" w:id="0">
    <w:p w:rsidR="00953726" w:rsidRDefault="009537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726" w:rsidRDefault="0007651C" w:rsidP="00881BCB">
    <w:pPr>
      <w:pStyle w:val="Kopfzeile"/>
      <w:rPr>
        <w:sz w:val="16"/>
      </w:rPr>
    </w:pPr>
    <w:r>
      <w:rPr>
        <w:sz w:val="16"/>
      </w:rPr>
      <w:t>Lagebericht für das Wirtschaftsjahr 2012</w:t>
    </w:r>
    <w:r>
      <w:rPr>
        <w:sz w:val="16"/>
      </w:rPr>
      <w:tab/>
    </w:r>
    <w:r>
      <w:rPr>
        <w:sz w:val="16"/>
      </w:rPr>
      <w:tab/>
      <w:t xml:space="preserve">Anlage 2 zur </w:t>
    </w:r>
    <w:proofErr w:type="spellStart"/>
    <w:r>
      <w:rPr>
        <w:sz w:val="16"/>
      </w:rPr>
      <w:t>GRDrs</w:t>
    </w:r>
    <w:proofErr w:type="spellEnd"/>
    <w:r>
      <w:rPr>
        <w:sz w:val="16"/>
      </w:rPr>
      <w:t xml:space="preserve"> </w:t>
    </w:r>
    <w:r w:rsidR="007E1BEB">
      <w:rPr>
        <w:sz w:val="16"/>
      </w:rPr>
      <w:t>912</w:t>
    </w:r>
    <w:r>
      <w:rPr>
        <w:sz w:val="16"/>
      </w:rPr>
      <w:t>/2013</w:t>
    </w:r>
  </w:p>
  <w:p w:rsidR="00953726" w:rsidRPr="00881BCB" w:rsidRDefault="00953726" w:rsidP="00881BC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235"/>
    <w:multiLevelType w:val="hybridMultilevel"/>
    <w:tmpl w:val="6158EA98"/>
    <w:lvl w:ilvl="0" w:tplc="AF303034">
      <w:start w:val="1"/>
      <w:numFmt w:val="bullet"/>
      <w:lvlText w:val=""/>
      <w:lvlJc w:val="left"/>
      <w:pPr>
        <w:tabs>
          <w:tab w:val="num" w:pos="720"/>
        </w:tabs>
        <w:ind w:left="720" w:hanging="360"/>
      </w:pPr>
      <w:rPr>
        <w:rFonts w:ascii="Symbol" w:hAnsi="Symbol" w:cs="Courier New" w:hint="default"/>
        <w:b w:val="0"/>
        <w:bCs w:val="0"/>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8210C9E"/>
    <w:multiLevelType w:val="hybridMultilevel"/>
    <w:tmpl w:val="527AAB5A"/>
    <w:lvl w:ilvl="0" w:tplc="AF303034">
      <w:start w:val="1"/>
      <w:numFmt w:val="bullet"/>
      <w:lvlText w:val=""/>
      <w:lvlJc w:val="left"/>
      <w:pPr>
        <w:tabs>
          <w:tab w:val="num" w:pos="720"/>
        </w:tabs>
        <w:ind w:left="720" w:hanging="360"/>
      </w:pPr>
      <w:rPr>
        <w:rFonts w:ascii="Symbol" w:hAnsi="Symbol" w:cs="Courier New" w:hint="default"/>
        <w:b w:val="0"/>
        <w:bCs w:val="0"/>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8BC3C1B"/>
    <w:multiLevelType w:val="hybridMultilevel"/>
    <w:tmpl w:val="1E54CE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01631D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4">
    <w:nsid w:val="21305AB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24161055"/>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6">
    <w:nsid w:val="2E413D14"/>
    <w:multiLevelType w:val="multilevel"/>
    <w:tmpl w:val="A5A0787A"/>
    <w:lvl w:ilvl="0">
      <w:start w:val="1"/>
      <w:numFmt w:val="bullet"/>
      <w:lvlText w:val=""/>
      <w:lvlJc w:val="left"/>
      <w:pPr>
        <w:tabs>
          <w:tab w:val="num" w:pos="720"/>
        </w:tabs>
        <w:ind w:left="720" w:hanging="360"/>
      </w:pPr>
      <w:rPr>
        <w:rFonts w:ascii="Symbol" w:hAnsi="Symbol" w:cs="Courier New" w:hint="default"/>
        <w:b w:val="0"/>
        <w:bCs w:val="0"/>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0E5709A"/>
    <w:multiLevelType w:val="hybridMultilevel"/>
    <w:tmpl w:val="447A4B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32301CC"/>
    <w:multiLevelType w:val="singleLevel"/>
    <w:tmpl w:val="04070005"/>
    <w:lvl w:ilvl="0">
      <w:start w:val="1"/>
      <w:numFmt w:val="bullet"/>
      <w:lvlText w:val=""/>
      <w:lvlJc w:val="left"/>
      <w:pPr>
        <w:tabs>
          <w:tab w:val="num" w:pos="720"/>
        </w:tabs>
        <w:ind w:left="720" w:hanging="360"/>
      </w:pPr>
      <w:rPr>
        <w:rFonts w:ascii="Wingdings" w:hAnsi="Wingdings" w:hint="default"/>
      </w:rPr>
    </w:lvl>
  </w:abstractNum>
  <w:abstractNum w:abstractNumId="9">
    <w:nsid w:val="3AA50127"/>
    <w:multiLevelType w:val="hybridMultilevel"/>
    <w:tmpl w:val="D774F718"/>
    <w:lvl w:ilvl="0" w:tplc="AF303034">
      <w:start w:val="1"/>
      <w:numFmt w:val="bullet"/>
      <w:lvlText w:val=""/>
      <w:lvlJc w:val="left"/>
      <w:pPr>
        <w:tabs>
          <w:tab w:val="num" w:pos="720"/>
        </w:tabs>
        <w:ind w:left="720" w:hanging="360"/>
      </w:pPr>
      <w:rPr>
        <w:rFonts w:ascii="Symbol" w:hAnsi="Symbol" w:cs="Courier New" w:hint="default"/>
        <w:b w:val="0"/>
        <w:bCs w:val="0"/>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CA9606F"/>
    <w:multiLevelType w:val="hybridMultilevel"/>
    <w:tmpl w:val="6D802E7A"/>
    <w:lvl w:ilvl="0" w:tplc="6A26ABE8">
      <w:numFmt w:val="bullet"/>
      <w:lvlText w:val="-"/>
      <w:lvlJc w:val="left"/>
      <w:pPr>
        <w:tabs>
          <w:tab w:val="num" w:pos="870"/>
        </w:tabs>
        <w:ind w:left="870" w:hanging="51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D5B2A34"/>
    <w:multiLevelType w:val="hybridMultilevel"/>
    <w:tmpl w:val="96C6BA42"/>
    <w:lvl w:ilvl="0" w:tplc="04070005">
      <w:start w:val="1"/>
      <w:numFmt w:val="bullet"/>
      <w:lvlText w:val=""/>
      <w:lvlJc w:val="left"/>
      <w:pPr>
        <w:tabs>
          <w:tab w:val="num" w:pos="720"/>
        </w:tabs>
        <w:ind w:left="720" w:hanging="360"/>
      </w:pPr>
      <w:rPr>
        <w:rFonts w:ascii="Wingdings" w:hAnsi="Wingdings" w:hint="default"/>
        <w:b w:val="0"/>
        <w:bCs w:val="0"/>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EC74832"/>
    <w:multiLevelType w:val="hybridMultilevel"/>
    <w:tmpl w:val="B5F03A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17F1045"/>
    <w:multiLevelType w:val="hybridMultilevel"/>
    <w:tmpl w:val="CA7EDA3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2673030"/>
    <w:multiLevelType w:val="hybridMultilevel"/>
    <w:tmpl w:val="A5A0787A"/>
    <w:lvl w:ilvl="0" w:tplc="AF303034">
      <w:start w:val="1"/>
      <w:numFmt w:val="bullet"/>
      <w:lvlText w:val=""/>
      <w:lvlJc w:val="left"/>
      <w:pPr>
        <w:tabs>
          <w:tab w:val="num" w:pos="720"/>
        </w:tabs>
        <w:ind w:left="720" w:hanging="360"/>
      </w:pPr>
      <w:rPr>
        <w:rFonts w:ascii="Symbol" w:hAnsi="Symbol" w:cs="Courier New" w:hint="default"/>
        <w:b w:val="0"/>
        <w:bCs w:val="0"/>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7990B3D"/>
    <w:multiLevelType w:val="hybridMultilevel"/>
    <w:tmpl w:val="C04A928A"/>
    <w:lvl w:ilvl="0" w:tplc="AF303034">
      <w:start w:val="1"/>
      <w:numFmt w:val="bullet"/>
      <w:lvlText w:val=""/>
      <w:lvlJc w:val="left"/>
      <w:pPr>
        <w:tabs>
          <w:tab w:val="num" w:pos="720"/>
        </w:tabs>
        <w:ind w:left="720" w:hanging="360"/>
      </w:pPr>
      <w:rPr>
        <w:rFonts w:ascii="Symbol" w:hAnsi="Symbol" w:cs="Courier New" w:hint="default"/>
        <w:b w:val="0"/>
        <w:bCs w:val="0"/>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9"/>
  </w:num>
  <w:num w:numId="6">
    <w:abstractNumId w:val="1"/>
  </w:num>
  <w:num w:numId="7">
    <w:abstractNumId w:val="14"/>
  </w:num>
  <w:num w:numId="8">
    <w:abstractNumId w:val="6"/>
  </w:num>
  <w:num w:numId="9">
    <w:abstractNumId w:val="11"/>
  </w:num>
  <w:num w:numId="10">
    <w:abstractNumId w:val="13"/>
  </w:num>
  <w:num w:numId="11">
    <w:abstractNumId w:val="0"/>
  </w:num>
  <w:num w:numId="12">
    <w:abstractNumId w:val="15"/>
  </w:num>
  <w:num w:numId="13">
    <w:abstractNumId w:val="10"/>
  </w:num>
  <w:num w:numId="14">
    <w:abstractNumId w:val="12"/>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63EF2"/>
    <w:rsid w:val="00000581"/>
    <w:rsid w:val="00000BC6"/>
    <w:rsid w:val="0000108D"/>
    <w:rsid w:val="00001E3F"/>
    <w:rsid w:val="000043F1"/>
    <w:rsid w:val="0000587F"/>
    <w:rsid w:val="00006743"/>
    <w:rsid w:val="00006E2A"/>
    <w:rsid w:val="00007752"/>
    <w:rsid w:val="00011CEB"/>
    <w:rsid w:val="0001228B"/>
    <w:rsid w:val="00012396"/>
    <w:rsid w:val="00012E28"/>
    <w:rsid w:val="000146CB"/>
    <w:rsid w:val="00014A3B"/>
    <w:rsid w:val="00014F5E"/>
    <w:rsid w:val="0001716A"/>
    <w:rsid w:val="00017A2F"/>
    <w:rsid w:val="00020F56"/>
    <w:rsid w:val="0002151C"/>
    <w:rsid w:val="000217F1"/>
    <w:rsid w:val="00022664"/>
    <w:rsid w:val="00022D02"/>
    <w:rsid w:val="00022E93"/>
    <w:rsid w:val="00023916"/>
    <w:rsid w:val="000247C1"/>
    <w:rsid w:val="000251FB"/>
    <w:rsid w:val="00026C3A"/>
    <w:rsid w:val="000318DD"/>
    <w:rsid w:val="00031A08"/>
    <w:rsid w:val="00033743"/>
    <w:rsid w:val="000343E8"/>
    <w:rsid w:val="00037F17"/>
    <w:rsid w:val="00040992"/>
    <w:rsid w:val="00042149"/>
    <w:rsid w:val="00042E58"/>
    <w:rsid w:val="0004349E"/>
    <w:rsid w:val="00045DD6"/>
    <w:rsid w:val="00046A78"/>
    <w:rsid w:val="00046AA1"/>
    <w:rsid w:val="00047055"/>
    <w:rsid w:val="000471FE"/>
    <w:rsid w:val="00050DF6"/>
    <w:rsid w:val="00051432"/>
    <w:rsid w:val="000515D6"/>
    <w:rsid w:val="00051652"/>
    <w:rsid w:val="00051CC4"/>
    <w:rsid w:val="00052D5E"/>
    <w:rsid w:val="000539E5"/>
    <w:rsid w:val="00056FC0"/>
    <w:rsid w:val="00057414"/>
    <w:rsid w:val="00060C70"/>
    <w:rsid w:val="00060D66"/>
    <w:rsid w:val="000611E8"/>
    <w:rsid w:val="000621EC"/>
    <w:rsid w:val="0006259C"/>
    <w:rsid w:val="000633E7"/>
    <w:rsid w:val="000638D1"/>
    <w:rsid w:val="00063B94"/>
    <w:rsid w:val="0006449F"/>
    <w:rsid w:val="00064663"/>
    <w:rsid w:val="00066004"/>
    <w:rsid w:val="00066700"/>
    <w:rsid w:val="00067AA7"/>
    <w:rsid w:val="00070DE6"/>
    <w:rsid w:val="00071C5A"/>
    <w:rsid w:val="00072DB0"/>
    <w:rsid w:val="00074FDF"/>
    <w:rsid w:val="000757E3"/>
    <w:rsid w:val="00075E1D"/>
    <w:rsid w:val="0007651C"/>
    <w:rsid w:val="00076D96"/>
    <w:rsid w:val="00077347"/>
    <w:rsid w:val="00077866"/>
    <w:rsid w:val="00080388"/>
    <w:rsid w:val="0008059B"/>
    <w:rsid w:val="00080B23"/>
    <w:rsid w:val="00081D6A"/>
    <w:rsid w:val="00083EE1"/>
    <w:rsid w:val="00084A31"/>
    <w:rsid w:val="00084D73"/>
    <w:rsid w:val="00085806"/>
    <w:rsid w:val="000866BE"/>
    <w:rsid w:val="00087C19"/>
    <w:rsid w:val="00092AAD"/>
    <w:rsid w:val="00092C3F"/>
    <w:rsid w:val="00093342"/>
    <w:rsid w:val="0009386A"/>
    <w:rsid w:val="000950D4"/>
    <w:rsid w:val="00095DCB"/>
    <w:rsid w:val="00096D71"/>
    <w:rsid w:val="000A0D40"/>
    <w:rsid w:val="000A29BB"/>
    <w:rsid w:val="000A3677"/>
    <w:rsid w:val="000A4B78"/>
    <w:rsid w:val="000A5D2D"/>
    <w:rsid w:val="000A60DE"/>
    <w:rsid w:val="000A6361"/>
    <w:rsid w:val="000A6F5F"/>
    <w:rsid w:val="000A787A"/>
    <w:rsid w:val="000B0065"/>
    <w:rsid w:val="000B20B2"/>
    <w:rsid w:val="000B327F"/>
    <w:rsid w:val="000B3C41"/>
    <w:rsid w:val="000B5068"/>
    <w:rsid w:val="000C0255"/>
    <w:rsid w:val="000C1428"/>
    <w:rsid w:val="000C5F18"/>
    <w:rsid w:val="000C684A"/>
    <w:rsid w:val="000C69C1"/>
    <w:rsid w:val="000C6C2D"/>
    <w:rsid w:val="000D0311"/>
    <w:rsid w:val="000D14BF"/>
    <w:rsid w:val="000D3380"/>
    <w:rsid w:val="000D35EA"/>
    <w:rsid w:val="000D3D95"/>
    <w:rsid w:val="000D495E"/>
    <w:rsid w:val="000D5B11"/>
    <w:rsid w:val="000D5F2C"/>
    <w:rsid w:val="000D6E2F"/>
    <w:rsid w:val="000D7068"/>
    <w:rsid w:val="000D7410"/>
    <w:rsid w:val="000D7E61"/>
    <w:rsid w:val="000E369F"/>
    <w:rsid w:val="000E42AC"/>
    <w:rsid w:val="000E714F"/>
    <w:rsid w:val="000F025A"/>
    <w:rsid w:val="000F028A"/>
    <w:rsid w:val="000F114A"/>
    <w:rsid w:val="000F1BF2"/>
    <w:rsid w:val="000F27F6"/>
    <w:rsid w:val="000F2A75"/>
    <w:rsid w:val="000F5027"/>
    <w:rsid w:val="00101753"/>
    <w:rsid w:val="001019D6"/>
    <w:rsid w:val="00102555"/>
    <w:rsid w:val="001045BD"/>
    <w:rsid w:val="001052A6"/>
    <w:rsid w:val="00106BEA"/>
    <w:rsid w:val="001074DF"/>
    <w:rsid w:val="00110554"/>
    <w:rsid w:val="001112BC"/>
    <w:rsid w:val="0011133E"/>
    <w:rsid w:val="00112896"/>
    <w:rsid w:val="00112C90"/>
    <w:rsid w:val="001133E4"/>
    <w:rsid w:val="00114027"/>
    <w:rsid w:val="00115F10"/>
    <w:rsid w:val="00116375"/>
    <w:rsid w:val="0011643A"/>
    <w:rsid w:val="00116516"/>
    <w:rsid w:val="00116607"/>
    <w:rsid w:val="00116787"/>
    <w:rsid w:val="00116E22"/>
    <w:rsid w:val="001217F4"/>
    <w:rsid w:val="00122818"/>
    <w:rsid w:val="00123091"/>
    <w:rsid w:val="00123B16"/>
    <w:rsid w:val="00126F01"/>
    <w:rsid w:val="00132AB1"/>
    <w:rsid w:val="001336F6"/>
    <w:rsid w:val="00135606"/>
    <w:rsid w:val="001433E3"/>
    <w:rsid w:val="0014554D"/>
    <w:rsid w:val="00145B71"/>
    <w:rsid w:val="001460FA"/>
    <w:rsid w:val="00146BAA"/>
    <w:rsid w:val="00147CA0"/>
    <w:rsid w:val="00152F7F"/>
    <w:rsid w:val="00153F17"/>
    <w:rsid w:val="001545BD"/>
    <w:rsid w:val="00155033"/>
    <w:rsid w:val="00155CCE"/>
    <w:rsid w:val="0015745B"/>
    <w:rsid w:val="00160419"/>
    <w:rsid w:val="0016054B"/>
    <w:rsid w:val="00160F22"/>
    <w:rsid w:val="0016532A"/>
    <w:rsid w:val="0016682C"/>
    <w:rsid w:val="00166A3A"/>
    <w:rsid w:val="00166A74"/>
    <w:rsid w:val="00167AF4"/>
    <w:rsid w:val="00167E4E"/>
    <w:rsid w:val="00171294"/>
    <w:rsid w:val="00171B8D"/>
    <w:rsid w:val="00171E60"/>
    <w:rsid w:val="0017277E"/>
    <w:rsid w:val="00172DB6"/>
    <w:rsid w:val="001735B3"/>
    <w:rsid w:val="001748F5"/>
    <w:rsid w:val="0017533D"/>
    <w:rsid w:val="0017625B"/>
    <w:rsid w:val="0018018E"/>
    <w:rsid w:val="00181602"/>
    <w:rsid w:val="00181BDE"/>
    <w:rsid w:val="00183347"/>
    <w:rsid w:val="00183AF3"/>
    <w:rsid w:val="0018412C"/>
    <w:rsid w:val="00184DC9"/>
    <w:rsid w:val="001854B3"/>
    <w:rsid w:val="00185FE0"/>
    <w:rsid w:val="001860E5"/>
    <w:rsid w:val="00186B66"/>
    <w:rsid w:val="00187F06"/>
    <w:rsid w:val="00191A5C"/>
    <w:rsid w:val="0019403B"/>
    <w:rsid w:val="0019433A"/>
    <w:rsid w:val="00196088"/>
    <w:rsid w:val="00197062"/>
    <w:rsid w:val="00197AC0"/>
    <w:rsid w:val="00197E2E"/>
    <w:rsid w:val="001A016D"/>
    <w:rsid w:val="001A372E"/>
    <w:rsid w:val="001A3A0C"/>
    <w:rsid w:val="001A6E18"/>
    <w:rsid w:val="001B0697"/>
    <w:rsid w:val="001B0E78"/>
    <w:rsid w:val="001B0F4A"/>
    <w:rsid w:val="001B2190"/>
    <w:rsid w:val="001B50D7"/>
    <w:rsid w:val="001B7DBA"/>
    <w:rsid w:val="001C16FC"/>
    <w:rsid w:val="001C299D"/>
    <w:rsid w:val="001C3800"/>
    <w:rsid w:val="001C4E71"/>
    <w:rsid w:val="001C5C74"/>
    <w:rsid w:val="001C6A86"/>
    <w:rsid w:val="001C7D57"/>
    <w:rsid w:val="001C7E79"/>
    <w:rsid w:val="001D0011"/>
    <w:rsid w:val="001D1F65"/>
    <w:rsid w:val="001D27B4"/>
    <w:rsid w:val="001D6C5B"/>
    <w:rsid w:val="001E0868"/>
    <w:rsid w:val="001E1595"/>
    <w:rsid w:val="001E1748"/>
    <w:rsid w:val="001E1B8B"/>
    <w:rsid w:val="001E4C34"/>
    <w:rsid w:val="001E5B20"/>
    <w:rsid w:val="001E6BF5"/>
    <w:rsid w:val="001F1C70"/>
    <w:rsid w:val="001F3791"/>
    <w:rsid w:val="001F3C17"/>
    <w:rsid w:val="001F75A0"/>
    <w:rsid w:val="001F7815"/>
    <w:rsid w:val="00201B3D"/>
    <w:rsid w:val="0020272C"/>
    <w:rsid w:val="00203E0C"/>
    <w:rsid w:val="002063D7"/>
    <w:rsid w:val="0020694A"/>
    <w:rsid w:val="002104E6"/>
    <w:rsid w:val="002105C5"/>
    <w:rsid w:val="00210F3C"/>
    <w:rsid w:val="002114C4"/>
    <w:rsid w:val="00212E32"/>
    <w:rsid w:val="00212EAF"/>
    <w:rsid w:val="002133C5"/>
    <w:rsid w:val="00214E13"/>
    <w:rsid w:val="0021695F"/>
    <w:rsid w:val="00220336"/>
    <w:rsid w:val="002204C9"/>
    <w:rsid w:val="0022075F"/>
    <w:rsid w:val="00221BDC"/>
    <w:rsid w:val="00222098"/>
    <w:rsid w:val="002227C4"/>
    <w:rsid w:val="002228F1"/>
    <w:rsid w:val="00224E69"/>
    <w:rsid w:val="00225E22"/>
    <w:rsid w:val="002277AF"/>
    <w:rsid w:val="00227E33"/>
    <w:rsid w:val="00231E04"/>
    <w:rsid w:val="0023263D"/>
    <w:rsid w:val="00233CBE"/>
    <w:rsid w:val="00234C05"/>
    <w:rsid w:val="00236C2D"/>
    <w:rsid w:val="0023744B"/>
    <w:rsid w:val="00240045"/>
    <w:rsid w:val="00241D3A"/>
    <w:rsid w:val="00242822"/>
    <w:rsid w:val="002455F2"/>
    <w:rsid w:val="0024723A"/>
    <w:rsid w:val="002506F7"/>
    <w:rsid w:val="002514E4"/>
    <w:rsid w:val="002528BD"/>
    <w:rsid w:val="0025304C"/>
    <w:rsid w:val="00257215"/>
    <w:rsid w:val="002608B6"/>
    <w:rsid w:val="00262C5B"/>
    <w:rsid w:val="00262E75"/>
    <w:rsid w:val="00263B5A"/>
    <w:rsid w:val="00264853"/>
    <w:rsid w:val="002719EB"/>
    <w:rsid w:val="0027207B"/>
    <w:rsid w:val="00275388"/>
    <w:rsid w:val="00275787"/>
    <w:rsid w:val="0028040E"/>
    <w:rsid w:val="002826E4"/>
    <w:rsid w:val="002835F1"/>
    <w:rsid w:val="00285ABA"/>
    <w:rsid w:val="002862D9"/>
    <w:rsid w:val="002864DC"/>
    <w:rsid w:val="00286D3C"/>
    <w:rsid w:val="00287659"/>
    <w:rsid w:val="002915AD"/>
    <w:rsid w:val="0029447A"/>
    <w:rsid w:val="00295256"/>
    <w:rsid w:val="00297B67"/>
    <w:rsid w:val="002A0072"/>
    <w:rsid w:val="002A12D8"/>
    <w:rsid w:val="002A1452"/>
    <w:rsid w:val="002A7DDA"/>
    <w:rsid w:val="002B00F1"/>
    <w:rsid w:val="002B116E"/>
    <w:rsid w:val="002B23EF"/>
    <w:rsid w:val="002B403C"/>
    <w:rsid w:val="002B59AA"/>
    <w:rsid w:val="002C1B86"/>
    <w:rsid w:val="002C25BE"/>
    <w:rsid w:val="002C268E"/>
    <w:rsid w:val="002C3A98"/>
    <w:rsid w:val="002C3AB9"/>
    <w:rsid w:val="002C43D7"/>
    <w:rsid w:val="002C48AC"/>
    <w:rsid w:val="002C63F9"/>
    <w:rsid w:val="002C7037"/>
    <w:rsid w:val="002D004D"/>
    <w:rsid w:val="002D145E"/>
    <w:rsid w:val="002D1956"/>
    <w:rsid w:val="002D217F"/>
    <w:rsid w:val="002D2B60"/>
    <w:rsid w:val="002D49D2"/>
    <w:rsid w:val="002D50FC"/>
    <w:rsid w:val="002D5373"/>
    <w:rsid w:val="002D5757"/>
    <w:rsid w:val="002D5C8C"/>
    <w:rsid w:val="002D5DE3"/>
    <w:rsid w:val="002D63AC"/>
    <w:rsid w:val="002D7201"/>
    <w:rsid w:val="002E0584"/>
    <w:rsid w:val="002E1102"/>
    <w:rsid w:val="002E1B53"/>
    <w:rsid w:val="002E3934"/>
    <w:rsid w:val="002E5BD3"/>
    <w:rsid w:val="002E7CBD"/>
    <w:rsid w:val="002F15DE"/>
    <w:rsid w:val="002F1C54"/>
    <w:rsid w:val="002F2844"/>
    <w:rsid w:val="002F3228"/>
    <w:rsid w:val="002F4A4B"/>
    <w:rsid w:val="002F68F9"/>
    <w:rsid w:val="002F7F91"/>
    <w:rsid w:val="0030013E"/>
    <w:rsid w:val="00300FEE"/>
    <w:rsid w:val="003014BC"/>
    <w:rsid w:val="00302E12"/>
    <w:rsid w:val="00302F00"/>
    <w:rsid w:val="003049FE"/>
    <w:rsid w:val="00306D6C"/>
    <w:rsid w:val="003072CD"/>
    <w:rsid w:val="00307BB6"/>
    <w:rsid w:val="00311958"/>
    <w:rsid w:val="00312380"/>
    <w:rsid w:val="00314240"/>
    <w:rsid w:val="00315892"/>
    <w:rsid w:val="0031725A"/>
    <w:rsid w:val="00322395"/>
    <w:rsid w:val="0032284A"/>
    <w:rsid w:val="00324222"/>
    <w:rsid w:val="00324543"/>
    <w:rsid w:val="00324C51"/>
    <w:rsid w:val="00325120"/>
    <w:rsid w:val="003261A0"/>
    <w:rsid w:val="0032629D"/>
    <w:rsid w:val="003265EA"/>
    <w:rsid w:val="00331B5D"/>
    <w:rsid w:val="00332734"/>
    <w:rsid w:val="00334EE3"/>
    <w:rsid w:val="00335193"/>
    <w:rsid w:val="00335650"/>
    <w:rsid w:val="003360ED"/>
    <w:rsid w:val="003376D3"/>
    <w:rsid w:val="00337A0B"/>
    <w:rsid w:val="00337ACE"/>
    <w:rsid w:val="00342949"/>
    <w:rsid w:val="0034721E"/>
    <w:rsid w:val="003476F5"/>
    <w:rsid w:val="00350AA4"/>
    <w:rsid w:val="00350E73"/>
    <w:rsid w:val="00351351"/>
    <w:rsid w:val="00351CEA"/>
    <w:rsid w:val="00352578"/>
    <w:rsid w:val="00352814"/>
    <w:rsid w:val="00354487"/>
    <w:rsid w:val="00355146"/>
    <w:rsid w:val="00357260"/>
    <w:rsid w:val="003601FA"/>
    <w:rsid w:val="00361387"/>
    <w:rsid w:val="003613D8"/>
    <w:rsid w:val="0036312E"/>
    <w:rsid w:val="0036505C"/>
    <w:rsid w:val="00365934"/>
    <w:rsid w:val="0036742F"/>
    <w:rsid w:val="003724E4"/>
    <w:rsid w:val="00372510"/>
    <w:rsid w:val="0037627D"/>
    <w:rsid w:val="00376924"/>
    <w:rsid w:val="00380F7B"/>
    <w:rsid w:val="003816D7"/>
    <w:rsid w:val="00383980"/>
    <w:rsid w:val="003847CA"/>
    <w:rsid w:val="00385A52"/>
    <w:rsid w:val="00385F5F"/>
    <w:rsid w:val="0038636F"/>
    <w:rsid w:val="003910FE"/>
    <w:rsid w:val="0039156F"/>
    <w:rsid w:val="003916BD"/>
    <w:rsid w:val="00391E81"/>
    <w:rsid w:val="00392254"/>
    <w:rsid w:val="00394DCC"/>
    <w:rsid w:val="00396F91"/>
    <w:rsid w:val="003A2CF5"/>
    <w:rsid w:val="003A5745"/>
    <w:rsid w:val="003A5DBF"/>
    <w:rsid w:val="003A67A7"/>
    <w:rsid w:val="003A7B72"/>
    <w:rsid w:val="003A7D3D"/>
    <w:rsid w:val="003B1A2F"/>
    <w:rsid w:val="003B200C"/>
    <w:rsid w:val="003B218E"/>
    <w:rsid w:val="003B38D8"/>
    <w:rsid w:val="003B4C16"/>
    <w:rsid w:val="003B6D86"/>
    <w:rsid w:val="003C044E"/>
    <w:rsid w:val="003C10A2"/>
    <w:rsid w:val="003C30D9"/>
    <w:rsid w:val="003C3B92"/>
    <w:rsid w:val="003D2107"/>
    <w:rsid w:val="003D36A3"/>
    <w:rsid w:val="003D3E50"/>
    <w:rsid w:val="003D5031"/>
    <w:rsid w:val="003D58AF"/>
    <w:rsid w:val="003D5927"/>
    <w:rsid w:val="003D7863"/>
    <w:rsid w:val="003E2FCB"/>
    <w:rsid w:val="003E4713"/>
    <w:rsid w:val="003E4DB9"/>
    <w:rsid w:val="003E5241"/>
    <w:rsid w:val="003E5B85"/>
    <w:rsid w:val="003E62E5"/>
    <w:rsid w:val="003E6FF6"/>
    <w:rsid w:val="003F1277"/>
    <w:rsid w:val="003F2B6D"/>
    <w:rsid w:val="003F334B"/>
    <w:rsid w:val="003F4AE2"/>
    <w:rsid w:val="003F5A77"/>
    <w:rsid w:val="003F5E0D"/>
    <w:rsid w:val="003F6066"/>
    <w:rsid w:val="003F660B"/>
    <w:rsid w:val="003F7951"/>
    <w:rsid w:val="00401B30"/>
    <w:rsid w:val="00401D40"/>
    <w:rsid w:val="00402FC6"/>
    <w:rsid w:val="00403BA4"/>
    <w:rsid w:val="00405C12"/>
    <w:rsid w:val="00406385"/>
    <w:rsid w:val="00410AF7"/>
    <w:rsid w:val="0041279C"/>
    <w:rsid w:val="00414EB4"/>
    <w:rsid w:val="00415B6B"/>
    <w:rsid w:val="00416D24"/>
    <w:rsid w:val="0042123C"/>
    <w:rsid w:val="00422263"/>
    <w:rsid w:val="0042420C"/>
    <w:rsid w:val="0042488D"/>
    <w:rsid w:val="00424997"/>
    <w:rsid w:val="00425A41"/>
    <w:rsid w:val="004273F4"/>
    <w:rsid w:val="004328A7"/>
    <w:rsid w:val="0043316C"/>
    <w:rsid w:val="0043644B"/>
    <w:rsid w:val="00441651"/>
    <w:rsid w:val="00443F74"/>
    <w:rsid w:val="0044572E"/>
    <w:rsid w:val="00446952"/>
    <w:rsid w:val="0045154F"/>
    <w:rsid w:val="00456E03"/>
    <w:rsid w:val="00460539"/>
    <w:rsid w:val="004652F2"/>
    <w:rsid w:val="00466AA6"/>
    <w:rsid w:val="00466E7F"/>
    <w:rsid w:val="004678D9"/>
    <w:rsid w:val="00470F29"/>
    <w:rsid w:val="00471D46"/>
    <w:rsid w:val="004730CF"/>
    <w:rsid w:val="00473A3F"/>
    <w:rsid w:val="00476283"/>
    <w:rsid w:val="00476E15"/>
    <w:rsid w:val="00477FCF"/>
    <w:rsid w:val="00482920"/>
    <w:rsid w:val="004830F8"/>
    <w:rsid w:val="00483172"/>
    <w:rsid w:val="00483D49"/>
    <w:rsid w:val="0048546A"/>
    <w:rsid w:val="00485997"/>
    <w:rsid w:val="00485E8B"/>
    <w:rsid w:val="004863DF"/>
    <w:rsid w:val="00486C27"/>
    <w:rsid w:val="004903DF"/>
    <w:rsid w:val="00490B2B"/>
    <w:rsid w:val="00491DA7"/>
    <w:rsid w:val="004928D5"/>
    <w:rsid w:val="00493297"/>
    <w:rsid w:val="00495350"/>
    <w:rsid w:val="00495946"/>
    <w:rsid w:val="00496B61"/>
    <w:rsid w:val="00497111"/>
    <w:rsid w:val="00497945"/>
    <w:rsid w:val="004A1332"/>
    <w:rsid w:val="004A1AF0"/>
    <w:rsid w:val="004A23C2"/>
    <w:rsid w:val="004A4D3C"/>
    <w:rsid w:val="004A6A67"/>
    <w:rsid w:val="004A7744"/>
    <w:rsid w:val="004B083B"/>
    <w:rsid w:val="004B0BA0"/>
    <w:rsid w:val="004B13BD"/>
    <w:rsid w:val="004B1EFB"/>
    <w:rsid w:val="004B1FE8"/>
    <w:rsid w:val="004B257F"/>
    <w:rsid w:val="004B25B1"/>
    <w:rsid w:val="004B447E"/>
    <w:rsid w:val="004B6C50"/>
    <w:rsid w:val="004B7332"/>
    <w:rsid w:val="004B77B8"/>
    <w:rsid w:val="004C0276"/>
    <w:rsid w:val="004C212E"/>
    <w:rsid w:val="004C2E2D"/>
    <w:rsid w:val="004C4578"/>
    <w:rsid w:val="004C53EB"/>
    <w:rsid w:val="004C55E5"/>
    <w:rsid w:val="004D1618"/>
    <w:rsid w:val="004D21D0"/>
    <w:rsid w:val="004D2241"/>
    <w:rsid w:val="004D2DE3"/>
    <w:rsid w:val="004D2FA1"/>
    <w:rsid w:val="004D4725"/>
    <w:rsid w:val="004D52A2"/>
    <w:rsid w:val="004D66B3"/>
    <w:rsid w:val="004E0AD9"/>
    <w:rsid w:val="004E6C4D"/>
    <w:rsid w:val="004E74C3"/>
    <w:rsid w:val="004E7A77"/>
    <w:rsid w:val="004F03AA"/>
    <w:rsid w:val="004F03E5"/>
    <w:rsid w:val="004F2D49"/>
    <w:rsid w:val="004F2E49"/>
    <w:rsid w:val="004F368D"/>
    <w:rsid w:val="004F49DE"/>
    <w:rsid w:val="004F5D41"/>
    <w:rsid w:val="004F6B1F"/>
    <w:rsid w:val="004F6C57"/>
    <w:rsid w:val="004F7BCC"/>
    <w:rsid w:val="00500421"/>
    <w:rsid w:val="005017F7"/>
    <w:rsid w:val="00503249"/>
    <w:rsid w:val="00504481"/>
    <w:rsid w:val="005044C6"/>
    <w:rsid w:val="00507287"/>
    <w:rsid w:val="0051065D"/>
    <w:rsid w:val="005107E0"/>
    <w:rsid w:val="00511254"/>
    <w:rsid w:val="00512960"/>
    <w:rsid w:val="00513E1D"/>
    <w:rsid w:val="00513EF5"/>
    <w:rsid w:val="005153C7"/>
    <w:rsid w:val="00520A5A"/>
    <w:rsid w:val="00520B81"/>
    <w:rsid w:val="00521FD4"/>
    <w:rsid w:val="00524C4C"/>
    <w:rsid w:val="00524DB1"/>
    <w:rsid w:val="005252F0"/>
    <w:rsid w:val="00533324"/>
    <w:rsid w:val="005363FC"/>
    <w:rsid w:val="00537071"/>
    <w:rsid w:val="00540BC7"/>
    <w:rsid w:val="0054100A"/>
    <w:rsid w:val="0054173A"/>
    <w:rsid w:val="00542E94"/>
    <w:rsid w:val="00544306"/>
    <w:rsid w:val="00544C5D"/>
    <w:rsid w:val="00545313"/>
    <w:rsid w:val="00545F8A"/>
    <w:rsid w:val="00546452"/>
    <w:rsid w:val="005465EB"/>
    <w:rsid w:val="00546677"/>
    <w:rsid w:val="00553F58"/>
    <w:rsid w:val="00553FDA"/>
    <w:rsid w:val="0055736E"/>
    <w:rsid w:val="00560F18"/>
    <w:rsid w:val="005611B3"/>
    <w:rsid w:val="00561B7D"/>
    <w:rsid w:val="00563E5D"/>
    <w:rsid w:val="005665D9"/>
    <w:rsid w:val="00566861"/>
    <w:rsid w:val="00566ABB"/>
    <w:rsid w:val="00566CF3"/>
    <w:rsid w:val="00567189"/>
    <w:rsid w:val="005736DE"/>
    <w:rsid w:val="00573726"/>
    <w:rsid w:val="00575757"/>
    <w:rsid w:val="00577436"/>
    <w:rsid w:val="005775CF"/>
    <w:rsid w:val="00577FF1"/>
    <w:rsid w:val="005801E6"/>
    <w:rsid w:val="00580370"/>
    <w:rsid w:val="00580564"/>
    <w:rsid w:val="00581B7E"/>
    <w:rsid w:val="00581C40"/>
    <w:rsid w:val="00581E85"/>
    <w:rsid w:val="00582212"/>
    <w:rsid w:val="005826E1"/>
    <w:rsid w:val="00582C6D"/>
    <w:rsid w:val="00584117"/>
    <w:rsid w:val="005859F7"/>
    <w:rsid w:val="00587998"/>
    <w:rsid w:val="00590228"/>
    <w:rsid w:val="00591AE7"/>
    <w:rsid w:val="00591B57"/>
    <w:rsid w:val="00591C89"/>
    <w:rsid w:val="005935F6"/>
    <w:rsid w:val="00595418"/>
    <w:rsid w:val="00595FBC"/>
    <w:rsid w:val="005964B1"/>
    <w:rsid w:val="00597860"/>
    <w:rsid w:val="00597A7A"/>
    <w:rsid w:val="005A0387"/>
    <w:rsid w:val="005A05E6"/>
    <w:rsid w:val="005A114F"/>
    <w:rsid w:val="005A232E"/>
    <w:rsid w:val="005A3324"/>
    <w:rsid w:val="005A3712"/>
    <w:rsid w:val="005A4F49"/>
    <w:rsid w:val="005A5164"/>
    <w:rsid w:val="005A572E"/>
    <w:rsid w:val="005A6F64"/>
    <w:rsid w:val="005A71D9"/>
    <w:rsid w:val="005A7F6E"/>
    <w:rsid w:val="005B05E4"/>
    <w:rsid w:val="005B1886"/>
    <w:rsid w:val="005B1D3A"/>
    <w:rsid w:val="005B2797"/>
    <w:rsid w:val="005B5489"/>
    <w:rsid w:val="005B5D40"/>
    <w:rsid w:val="005B6C50"/>
    <w:rsid w:val="005B74D7"/>
    <w:rsid w:val="005B786A"/>
    <w:rsid w:val="005B7EC0"/>
    <w:rsid w:val="005C09C5"/>
    <w:rsid w:val="005C18A8"/>
    <w:rsid w:val="005C69E0"/>
    <w:rsid w:val="005D1ABA"/>
    <w:rsid w:val="005D2C8B"/>
    <w:rsid w:val="005D2D3F"/>
    <w:rsid w:val="005D3FAB"/>
    <w:rsid w:val="005D43C4"/>
    <w:rsid w:val="005D47B4"/>
    <w:rsid w:val="005D5203"/>
    <w:rsid w:val="005D667B"/>
    <w:rsid w:val="005D68D9"/>
    <w:rsid w:val="005E076E"/>
    <w:rsid w:val="005E1197"/>
    <w:rsid w:val="005E1636"/>
    <w:rsid w:val="005E22E0"/>
    <w:rsid w:val="005E39E7"/>
    <w:rsid w:val="005E51C9"/>
    <w:rsid w:val="005E632E"/>
    <w:rsid w:val="005E7884"/>
    <w:rsid w:val="005E7B9B"/>
    <w:rsid w:val="005E7F8A"/>
    <w:rsid w:val="005F1F15"/>
    <w:rsid w:val="005F54F3"/>
    <w:rsid w:val="005F577F"/>
    <w:rsid w:val="005F58E0"/>
    <w:rsid w:val="005F7EA3"/>
    <w:rsid w:val="00600C93"/>
    <w:rsid w:val="00604222"/>
    <w:rsid w:val="006055AD"/>
    <w:rsid w:val="00606BB7"/>
    <w:rsid w:val="00610233"/>
    <w:rsid w:val="00610487"/>
    <w:rsid w:val="00611651"/>
    <w:rsid w:val="006127C8"/>
    <w:rsid w:val="00613853"/>
    <w:rsid w:val="00613D96"/>
    <w:rsid w:val="00614052"/>
    <w:rsid w:val="0061443D"/>
    <w:rsid w:val="00614BAE"/>
    <w:rsid w:val="00615186"/>
    <w:rsid w:val="0061667C"/>
    <w:rsid w:val="00616F25"/>
    <w:rsid w:val="00617A67"/>
    <w:rsid w:val="0062390D"/>
    <w:rsid w:val="00623A24"/>
    <w:rsid w:val="00624323"/>
    <w:rsid w:val="0062609A"/>
    <w:rsid w:val="00626F02"/>
    <w:rsid w:val="0063155C"/>
    <w:rsid w:val="006320ED"/>
    <w:rsid w:val="0063293A"/>
    <w:rsid w:val="00635C90"/>
    <w:rsid w:val="006369DE"/>
    <w:rsid w:val="00636DFF"/>
    <w:rsid w:val="00640794"/>
    <w:rsid w:val="0064139C"/>
    <w:rsid w:val="00641D9C"/>
    <w:rsid w:val="00644138"/>
    <w:rsid w:val="006513FD"/>
    <w:rsid w:val="00652BAC"/>
    <w:rsid w:val="00653C9C"/>
    <w:rsid w:val="00654E25"/>
    <w:rsid w:val="00656B6C"/>
    <w:rsid w:val="006619CF"/>
    <w:rsid w:val="00661AD8"/>
    <w:rsid w:val="00664F27"/>
    <w:rsid w:val="00665421"/>
    <w:rsid w:val="00666385"/>
    <w:rsid w:val="00666521"/>
    <w:rsid w:val="006700CC"/>
    <w:rsid w:val="006711BB"/>
    <w:rsid w:val="0067322C"/>
    <w:rsid w:val="006746DC"/>
    <w:rsid w:val="00675AF0"/>
    <w:rsid w:val="00675F40"/>
    <w:rsid w:val="006815E6"/>
    <w:rsid w:val="00681E28"/>
    <w:rsid w:val="00682E6E"/>
    <w:rsid w:val="006830C2"/>
    <w:rsid w:val="00684042"/>
    <w:rsid w:val="00684454"/>
    <w:rsid w:val="006846E8"/>
    <w:rsid w:val="00685CE4"/>
    <w:rsid w:val="0068670F"/>
    <w:rsid w:val="006874E3"/>
    <w:rsid w:val="00690672"/>
    <w:rsid w:val="00691113"/>
    <w:rsid w:val="0069184F"/>
    <w:rsid w:val="00691CDF"/>
    <w:rsid w:val="006933CE"/>
    <w:rsid w:val="00693B5F"/>
    <w:rsid w:val="00694F6F"/>
    <w:rsid w:val="0069649E"/>
    <w:rsid w:val="006A052A"/>
    <w:rsid w:val="006A0ECD"/>
    <w:rsid w:val="006A1BBE"/>
    <w:rsid w:val="006A271B"/>
    <w:rsid w:val="006A3D25"/>
    <w:rsid w:val="006A4699"/>
    <w:rsid w:val="006A48B6"/>
    <w:rsid w:val="006A4FA7"/>
    <w:rsid w:val="006A5EBE"/>
    <w:rsid w:val="006A7BC2"/>
    <w:rsid w:val="006B0CCA"/>
    <w:rsid w:val="006B2021"/>
    <w:rsid w:val="006B3E23"/>
    <w:rsid w:val="006B3F0C"/>
    <w:rsid w:val="006B6074"/>
    <w:rsid w:val="006B70BF"/>
    <w:rsid w:val="006B7695"/>
    <w:rsid w:val="006C0634"/>
    <w:rsid w:val="006C44E5"/>
    <w:rsid w:val="006C69A9"/>
    <w:rsid w:val="006C7944"/>
    <w:rsid w:val="006D02D5"/>
    <w:rsid w:val="006D0760"/>
    <w:rsid w:val="006D0798"/>
    <w:rsid w:val="006D131E"/>
    <w:rsid w:val="006D5436"/>
    <w:rsid w:val="006D7FD9"/>
    <w:rsid w:val="006E0571"/>
    <w:rsid w:val="006E0E4F"/>
    <w:rsid w:val="006E2C57"/>
    <w:rsid w:val="006E3A7B"/>
    <w:rsid w:val="006E41FC"/>
    <w:rsid w:val="006E6529"/>
    <w:rsid w:val="006E6B4D"/>
    <w:rsid w:val="006F1048"/>
    <w:rsid w:val="006F210B"/>
    <w:rsid w:val="006F230A"/>
    <w:rsid w:val="006F4853"/>
    <w:rsid w:val="006F48C6"/>
    <w:rsid w:val="006F50CF"/>
    <w:rsid w:val="006F741C"/>
    <w:rsid w:val="00700311"/>
    <w:rsid w:val="00700A96"/>
    <w:rsid w:val="00700B19"/>
    <w:rsid w:val="00702967"/>
    <w:rsid w:val="00705572"/>
    <w:rsid w:val="00705DC7"/>
    <w:rsid w:val="007062FE"/>
    <w:rsid w:val="0070694F"/>
    <w:rsid w:val="007078F8"/>
    <w:rsid w:val="007103AF"/>
    <w:rsid w:val="00712383"/>
    <w:rsid w:val="00713FC9"/>
    <w:rsid w:val="0071482B"/>
    <w:rsid w:val="00714999"/>
    <w:rsid w:val="007172F6"/>
    <w:rsid w:val="00720CFB"/>
    <w:rsid w:val="00721757"/>
    <w:rsid w:val="007222F8"/>
    <w:rsid w:val="00722E24"/>
    <w:rsid w:val="007249DE"/>
    <w:rsid w:val="007272CD"/>
    <w:rsid w:val="00727E1F"/>
    <w:rsid w:val="00727FDC"/>
    <w:rsid w:val="00727FE2"/>
    <w:rsid w:val="00730445"/>
    <w:rsid w:val="0073086B"/>
    <w:rsid w:val="0073336C"/>
    <w:rsid w:val="0073429B"/>
    <w:rsid w:val="00734A99"/>
    <w:rsid w:val="0073740D"/>
    <w:rsid w:val="0074152D"/>
    <w:rsid w:val="00741C4C"/>
    <w:rsid w:val="00742975"/>
    <w:rsid w:val="00744447"/>
    <w:rsid w:val="007464E9"/>
    <w:rsid w:val="007477D5"/>
    <w:rsid w:val="0075044A"/>
    <w:rsid w:val="007524F1"/>
    <w:rsid w:val="007557C6"/>
    <w:rsid w:val="00757A9D"/>
    <w:rsid w:val="00761E63"/>
    <w:rsid w:val="007622CC"/>
    <w:rsid w:val="00762986"/>
    <w:rsid w:val="00762D1E"/>
    <w:rsid w:val="00763A78"/>
    <w:rsid w:val="00764AA4"/>
    <w:rsid w:val="007654F3"/>
    <w:rsid w:val="00765DDF"/>
    <w:rsid w:val="00765F48"/>
    <w:rsid w:val="00766D3F"/>
    <w:rsid w:val="00766FD0"/>
    <w:rsid w:val="007708B5"/>
    <w:rsid w:val="00772D6C"/>
    <w:rsid w:val="00774054"/>
    <w:rsid w:val="007740AC"/>
    <w:rsid w:val="00775A1E"/>
    <w:rsid w:val="00775FB9"/>
    <w:rsid w:val="00776F7A"/>
    <w:rsid w:val="007777DA"/>
    <w:rsid w:val="00780CA2"/>
    <w:rsid w:val="00781580"/>
    <w:rsid w:val="00783F1A"/>
    <w:rsid w:val="00784BE7"/>
    <w:rsid w:val="00784C53"/>
    <w:rsid w:val="00786B19"/>
    <w:rsid w:val="007914C2"/>
    <w:rsid w:val="0079231B"/>
    <w:rsid w:val="0079394B"/>
    <w:rsid w:val="00796050"/>
    <w:rsid w:val="0079710D"/>
    <w:rsid w:val="007974D4"/>
    <w:rsid w:val="007A01DC"/>
    <w:rsid w:val="007A1634"/>
    <w:rsid w:val="007A1721"/>
    <w:rsid w:val="007A23E1"/>
    <w:rsid w:val="007A3B66"/>
    <w:rsid w:val="007A509B"/>
    <w:rsid w:val="007A68E2"/>
    <w:rsid w:val="007A7FE6"/>
    <w:rsid w:val="007B1AF2"/>
    <w:rsid w:val="007B1CFE"/>
    <w:rsid w:val="007B3D76"/>
    <w:rsid w:val="007B66BB"/>
    <w:rsid w:val="007B7C88"/>
    <w:rsid w:val="007C0B47"/>
    <w:rsid w:val="007C1370"/>
    <w:rsid w:val="007C34BF"/>
    <w:rsid w:val="007C389A"/>
    <w:rsid w:val="007C4C41"/>
    <w:rsid w:val="007C66E6"/>
    <w:rsid w:val="007D1F41"/>
    <w:rsid w:val="007E0F63"/>
    <w:rsid w:val="007E148F"/>
    <w:rsid w:val="007E1BEB"/>
    <w:rsid w:val="007E5233"/>
    <w:rsid w:val="007E73F5"/>
    <w:rsid w:val="007F05E0"/>
    <w:rsid w:val="007F15C7"/>
    <w:rsid w:val="007F2822"/>
    <w:rsid w:val="007F3B78"/>
    <w:rsid w:val="007F729B"/>
    <w:rsid w:val="007F7D70"/>
    <w:rsid w:val="0080039F"/>
    <w:rsid w:val="00802C4F"/>
    <w:rsid w:val="00805008"/>
    <w:rsid w:val="008053F2"/>
    <w:rsid w:val="008066CB"/>
    <w:rsid w:val="008072E1"/>
    <w:rsid w:val="00807836"/>
    <w:rsid w:val="008116B1"/>
    <w:rsid w:val="00812833"/>
    <w:rsid w:val="00814DBE"/>
    <w:rsid w:val="008158C1"/>
    <w:rsid w:val="0081621E"/>
    <w:rsid w:val="00816406"/>
    <w:rsid w:val="0081764D"/>
    <w:rsid w:val="00817BA4"/>
    <w:rsid w:val="00821C29"/>
    <w:rsid w:val="0082250F"/>
    <w:rsid w:val="00823F92"/>
    <w:rsid w:val="008257B8"/>
    <w:rsid w:val="00825CC1"/>
    <w:rsid w:val="0082633F"/>
    <w:rsid w:val="00826682"/>
    <w:rsid w:val="00827743"/>
    <w:rsid w:val="00830F2C"/>
    <w:rsid w:val="008316CE"/>
    <w:rsid w:val="00831A72"/>
    <w:rsid w:val="00831C83"/>
    <w:rsid w:val="008323C9"/>
    <w:rsid w:val="00832FDC"/>
    <w:rsid w:val="008331C4"/>
    <w:rsid w:val="008349AF"/>
    <w:rsid w:val="0083643A"/>
    <w:rsid w:val="008373C9"/>
    <w:rsid w:val="0084040D"/>
    <w:rsid w:val="0084101A"/>
    <w:rsid w:val="00843396"/>
    <w:rsid w:val="008441B9"/>
    <w:rsid w:val="00844826"/>
    <w:rsid w:val="0084605B"/>
    <w:rsid w:val="00846DF8"/>
    <w:rsid w:val="00846E66"/>
    <w:rsid w:val="00850507"/>
    <w:rsid w:val="00851A58"/>
    <w:rsid w:val="00852ACF"/>
    <w:rsid w:val="00855904"/>
    <w:rsid w:val="008614CB"/>
    <w:rsid w:val="00861887"/>
    <w:rsid w:val="008619F5"/>
    <w:rsid w:val="00862A1B"/>
    <w:rsid w:val="008631B8"/>
    <w:rsid w:val="00864CB2"/>
    <w:rsid w:val="00870781"/>
    <w:rsid w:val="0087177A"/>
    <w:rsid w:val="00874AEE"/>
    <w:rsid w:val="00874DA2"/>
    <w:rsid w:val="00875589"/>
    <w:rsid w:val="008774E2"/>
    <w:rsid w:val="0088007E"/>
    <w:rsid w:val="00881BCB"/>
    <w:rsid w:val="00881D0D"/>
    <w:rsid w:val="00881DAD"/>
    <w:rsid w:val="00883718"/>
    <w:rsid w:val="008845FD"/>
    <w:rsid w:val="008856B7"/>
    <w:rsid w:val="0088594F"/>
    <w:rsid w:val="00885F36"/>
    <w:rsid w:val="00886034"/>
    <w:rsid w:val="00886A44"/>
    <w:rsid w:val="008874EB"/>
    <w:rsid w:val="008876D9"/>
    <w:rsid w:val="00890303"/>
    <w:rsid w:val="00890409"/>
    <w:rsid w:val="008907CA"/>
    <w:rsid w:val="00892B2A"/>
    <w:rsid w:val="00894473"/>
    <w:rsid w:val="008953C2"/>
    <w:rsid w:val="008956BB"/>
    <w:rsid w:val="00897D9C"/>
    <w:rsid w:val="008A0729"/>
    <w:rsid w:val="008A0AA6"/>
    <w:rsid w:val="008A0ECC"/>
    <w:rsid w:val="008A35C4"/>
    <w:rsid w:val="008A466E"/>
    <w:rsid w:val="008A48CB"/>
    <w:rsid w:val="008B06EF"/>
    <w:rsid w:val="008B0D40"/>
    <w:rsid w:val="008B3674"/>
    <w:rsid w:val="008B6086"/>
    <w:rsid w:val="008B729F"/>
    <w:rsid w:val="008B7AB0"/>
    <w:rsid w:val="008C0173"/>
    <w:rsid w:val="008C0783"/>
    <w:rsid w:val="008C087D"/>
    <w:rsid w:val="008C2534"/>
    <w:rsid w:val="008C2616"/>
    <w:rsid w:val="008C280F"/>
    <w:rsid w:val="008D0552"/>
    <w:rsid w:val="008D454B"/>
    <w:rsid w:val="008D5497"/>
    <w:rsid w:val="008D79EF"/>
    <w:rsid w:val="008E08E6"/>
    <w:rsid w:val="008E0D60"/>
    <w:rsid w:val="008E1F8A"/>
    <w:rsid w:val="008E21F7"/>
    <w:rsid w:val="008E6E7B"/>
    <w:rsid w:val="008E7B59"/>
    <w:rsid w:val="008F04A6"/>
    <w:rsid w:val="008F10A8"/>
    <w:rsid w:val="008F1353"/>
    <w:rsid w:val="008F264F"/>
    <w:rsid w:val="008F27A3"/>
    <w:rsid w:val="008F4624"/>
    <w:rsid w:val="008F56D1"/>
    <w:rsid w:val="008F7E93"/>
    <w:rsid w:val="008F7ED5"/>
    <w:rsid w:val="00900332"/>
    <w:rsid w:val="0090067B"/>
    <w:rsid w:val="00902AE7"/>
    <w:rsid w:val="00903A26"/>
    <w:rsid w:val="00903A62"/>
    <w:rsid w:val="00903BA1"/>
    <w:rsid w:val="00905231"/>
    <w:rsid w:val="00905431"/>
    <w:rsid w:val="00905C1F"/>
    <w:rsid w:val="0090675E"/>
    <w:rsid w:val="009078AE"/>
    <w:rsid w:val="009100CF"/>
    <w:rsid w:val="00910C21"/>
    <w:rsid w:val="009126B8"/>
    <w:rsid w:val="00913331"/>
    <w:rsid w:val="00913F62"/>
    <w:rsid w:val="00914427"/>
    <w:rsid w:val="009149D7"/>
    <w:rsid w:val="00915AE6"/>
    <w:rsid w:val="00916C54"/>
    <w:rsid w:val="0091781F"/>
    <w:rsid w:val="009200A6"/>
    <w:rsid w:val="00921065"/>
    <w:rsid w:val="00922A33"/>
    <w:rsid w:val="00924053"/>
    <w:rsid w:val="0092427D"/>
    <w:rsid w:val="00924DF3"/>
    <w:rsid w:val="00925483"/>
    <w:rsid w:val="009259F4"/>
    <w:rsid w:val="009263F1"/>
    <w:rsid w:val="00926662"/>
    <w:rsid w:val="00927304"/>
    <w:rsid w:val="009276F5"/>
    <w:rsid w:val="0092793C"/>
    <w:rsid w:val="00927AF3"/>
    <w:rsid w:val="0093319F"/>
    <w:rsid w:val="009331AE"/>
    <w:rsid w:val="009332F8"/>
    <w:rsid w:val="0093488A"/>
    <w:rsid w:val="0093559B"/>
    <w:rsid w:val="00935CE4"/>
    <w:rsid w:val="00937517"/>
    <w:rsid w:val="00940058"/>
    <w:rsid w:val="00940B17"/>
    <w:rsid w:val="009427AB"/>
    <w:rsid w:val="00942AD4"/>
    <w:rsid w:val="00943086"/>
    <w:rsid w:val="0094353B"/>
    <w:rsid w:val="009449F3"/>
    <w:rsid w:val="0095064F"/>
    <w:rsid w:val="00952214"/>
    <w:rsid w:val="00953726"/>
    <w:rsid w:val="00955238"/>
    <w:rsid w:val="009554A6"/>
    <w:rsid w:val="00955A47"/>
    <w:rsid w:val="00955B7A"/>
    <w:rsid w:val="0096169D"/>
    <w:rsid w:val="00961D9C"/>
    <w:rsid w:val="00962FB4"/>
    <w:rsid w:val="009643AE"/>
    <w:rsid w:val="00964E20"/>
    <w:rsid w:val="00965922"/>
    <w:rsid w:val="0096645F"/>
    <w:rsid w:val="00970132"/>
    <w:rsid w:val="00970299"/>
    <w:rsid w:val="00970E82"/>
    <w:rsid w:val="00971ACD"/>
    <w:rsid w:val="0097207A"/>
    <w:rsid w:val="00972DA2"/>
    <w:rsid w:val="00974B42"/>
    <w:rsid w:val="00975378"/>
    <w:rsid w:val="0098067E"/>
    <w:rsid w:val="00981B87"/>
    <w:rsid w:val="00984634"/>
    <w:rsid w:val="009870B8"/>
    <w:rsid w:val="00987B1A"/>
    <w:rsid w:val="00987BF9"/>
    <w:rsid w:val="00991556"/>
    <w:rsid w:val="009920E9"/>
    <w:rsid w:val="00992ED0"/>
    <w:rsid w:val="009937D7"/>
    <w:rsid w:val="00995529"/>
    <w:rsid w:val="00996CF0"/>
    <w:rsid w:val="009A30FC"/>
    <w:rsid w:val="009A353D"/>
    <w:rsid w:val="009A3BAB"/>
    <w:rsid w:val="009A6FDD"/>
    <w:rsid w:val="009A784B"/>
    <w:rsid w:val="009B2EE5"/>
    <w:rsid w:val="009B46A8"/>
    <w:rsid w:val="009B557D"/>
    <w:rsid w:val="009C076B"/>
    <w:rsid w:val="009C19E9"/>
    <w:rsid w:val="009C2FB6"/>
    <w:rsid w:val="009C6977"/>
    <w:rsid w:val="009D221A"/>
    <w:rsid w:val="009D4AE0"/>
    <w:rsid w:val="009D5C0B"/>
    <w:rsid w:val="009E087A"/>
    <w:rsid w:val="009E293B"/>
    <w:rsid w:val="009E4ED9"/>
    <w:rsid w:val="009E55F6"/>
    <w:rsid w:val="009E5CCF"/>
    <w:rsid w:val="009E65BB"/>
    <w:rsid w:val="009F050A"/>
    <w:rsid w:val="009F0ABC"/>
    <w:rsid w:val="009F1788"/>
    <w:rsid w:val="009F52B2"/>
    <w:rsid w:val="009F6356"/>
    <w:rsid w:val="009F71B7"/>
    <w:rsid w:val="009F7680"/>
    <w:rsid w:val="00A001F2"/>
    <w:rsid w:val="00A00336"/>
    <w:rsid w:val="00A005D7"/>
    <w:rsid w:val="00A00894"/>
    <w:rsid w:val="00A01698"/>
    <w:rsid w:val="00A03D7F"/>
    <w:rsid w:val="00A07988"/>
    <w:rsid w:val="00A11D50"/>
    <w:rsid w:val="00A12731"/>
    <w:rsid w:val="00A130E7"/>
    <w:rsid w:val="00A14C22"/>
    <w:rsid w:val="00A15A76"/>
    <w:rsid w:val="00A166A5"/>
    <w:rsid w:val="00A17298"/>
    <w:rsid w:val="00A175A7"/>
    <w:rsid w:val="00A21596"/>
    <w:rsid w:val="00A2174D"/>
    <w:rsid w:val="00A21DFB"/>
    <w:rsid w:val="00A21ED7"/>
    <w:rsid w:val="00A232CE"/>
    <w:rsid w:val="00A23BC5"/>
    <w:rsid w:val="00A244D8"/>
    <w:rsid w:val="00A2681B"/>
    <w:rsid w:val="00A27583"/>
    <w:rsid w:val="00A27663"/>
    <w:rsid w:val="00A30451"/>
    <w:rsid w:val="00A31F23"/>
    <w:rsid w:val="00A32F75"/>
    <w:rsid w:val="00A335F7"/>
    <w:rsid w:val="00A34CD6"/>
    <w:rsid w:val="00A3517F"/>
    <w:rsid w:val="00A37143"/>
    <w:rsid w:val="00A431D0"/>
    <w:rsid w:val="00A4340B"/>
    <w:rsid w:val="00A43E3C"/>
    <w:rsid w:val="00A43E70"/>
    <w:rsid w:val="00A444A6"/>
    <w:rsid w:val="00A44E08"/>
    <w:rsid w:val="00A45E30"/>
    <w:rsid w:val="00A45E7E"/>
    <w:rsid w:val="00A46FDF"/>
    <w:rsid w:val="00A5076A"/>
    <w:rsid w:val="00A5090F"/>
    <w:rsid w:val="00A52327"/>
    <w:rsid w:val="00A54D4A"/>
    <w:rsid w:val="00A54EF6"/>
    <w:rsid w:val="00A554B8"/>
    <w:rsid w:val="00A55650"/>
    <w:rsid w:val="00A55A4B"/>
    <w:rsid w:val="00A55BE3"/>
    <w:rsid w:val="00A56464"/>
    <w:rsid w:val="00A56F94"/>
    <w:rsid w:val="00A57844"/>
    <w:rsid w:val="00A57BA3"/>
    <w:rsid w:val="00A6075C"/>
    <w:rsid w:val="00A60CAF"/>
    <w:rsid w:val="00A60CE2"/>
    <w:rsid w:val="00A622D5"/>
    <w:rsid w:val="00A631EF"/>
    <w:rsid w:val="00A6378C"/>
    <w:rsid w:val="00A63AD6"/>
    <w:rsid w:val="00A64504"/>
    <w:rsid w:val="00A65F3E"/>
    <w:rsid w:val="00A66C55"/>
    <w:rsid w:val="00A67207"/>
    <w:rsid w:val="00A67863"/>
    <w:rsid w:val="00A67A08"/>
    <w:rsid w:val="00A70298"/>
    <w:rsid w:val="00A729CC"/>
    <w:rsid w:val="00A72C62"/>
    <w:rsid w:val="00A73FAC"/>
    <w:rsid w:val="00A767ED"/>
    <w:rsid w:val="00A76EDF"/>
    <w:rsid w:val="00A774C6"/>
    <w:rsid w:val="00A77B8C"/>
    <w:rsid w:val="00A82212"/>
    <w:rsid w:val="00A822C3"/>
    <w:rsid w:val="00A8311E"/>
    <w:rsid w:val="00A839DA"/>
    <w:rsid w:val="00A85089"/>
    <w:rsid w:val="00A850B8"/>
    <w:rsid w:val="00A85429"/>
    <w:rsid w:val="00A8553C"/>
    <w:rsid w:val="00A8554F"/>
    <w:rsid w:val="00A85F7C"/>
    <w:rsid w:val="00A868F0"/>
    <w:rsid w:val="00A86D1C"/>
    <w:rsid w:val="00A90042"/>
    <w:rsid w:val="00A900B5"/>
    <w:rsid w:val="00A92DB2"/>
    <w:rsid w:val="00A93851"/>
    <w:rsid w:val="00A93FBE"/>
    <w:rsid w:val="00A94C41"/>
    <w:rsid w:val="00A97CF3"/>
    <w:rsid w:val="00AA001F"/>
    <w:rsid w:val="00AA1857"/>
    <w:rsid w:val="00AA18B7"/>
    <w:rsid w:val="00AA3995"/>
    <w:rsid w:val="00AA3B4A"/>
    <w:rsid w:val="00AA4445"/>
    <w:rsid w:val="00AA4910"/>
    <w:rsid w:val="00AA5682"/>
    <w:rsid w:val="00AB125A"/>
    <w:rsid w:val="00AB128E"/>
    <w:rsid w:val="00AB3254"/>
    <w:rsid w:val="00AB4157"/>
    <w:rsid w:val="00AB488F"/>
    <w:rsid w:val="00AB52AA"/>
    <w:rsid w:val="00AB6A08"/>
    <w:rsid w:val="00AB70DA"/>
    <w:rsid w:val="00AB70F8"/>
    <w:rsid w:val="00AB748E"/>
    <w:rsid w:val="00AC0BE5"/>
    <w:rsid w:val="00AC377B"/>
    <w:rsid w:val="00AC4B7B"/>
    <w:rsid w:val="00AC67DA"/>
    <w:rsid w:val="00AD2832"/>
    <w:rsid w:val="00AD2CE6"/>
    <w:rsid w:val="00AD38C1"/>
    <w:rsid w:val="00AD3F6C"/>
    <w:rsid w:val="00AD4CDB"/>
    <w:rsid w:val="00AD4DDE"/>
    <w:rsid w:val="00AD4F7C"/>
    <w:rsid w:val="00AD5A27"/>
    <w:rsid w:val="00AD5D63"/>
    <w:rsid w:val="00AD5E1D"/>
    <w:rsid w:val="00AD7127"/>
    <w:rsid w:val="00AD7760"/>
    <w:rsid w:val="00AE06B0"/>
    <w:rsid w:val="00AE1005"/>
    <w:rsid w:val="00AE2DB4"/>
    <w:rsid w:val="00AE3365"/>
    <w:rsid w:val="00AE3F63"/>
    <w:rsid w:val="00AE4591"/>
    <w:rsid w:val="00AE58FD"/>
    <w:rsid w:val="00AF02BC"/>
    <w:rsid w:val="00AF02C5"/>
    <w:rsid w:val="00AF20B0"/>
    <w:rsid w:val="00AF2775"/>
    <w:rsid w:val="00AF306B"/>
    <w:rsid w:val="00AF4A94"/>
    <w:rsid w:val="00AF6276"/>
    <w:rsid w:val="00AF75D7"/>
    <w:rsid w:val="00AF7879"/>
    <w:rsid w:val="00B00DCC"/>
    <w:rsid w:val="00B02164"/>
    <w:rsid w:val="00B027B7"/>
    <w:rsid w:val="00B03D1A"/>
    <w:rsid w:val="00B042C2"/>
    <w:rsid w:val="00B051A5"/>
    <w:rsid w:val="00B05507"/>
    <w:rsid w:val="00B05B91"/>
    <w:rsid w:val="00B102E8"/>
    <w:rsid w:val="00B1111C"/>
    <w:rsid w:val="00B1387B"/>
    <w:rsid w:val="00B13CDD"/>
    <w:rsid w:val="00B13F83"/>
    <w:rsid w:val="00B14DBF"/>
    <w:rsid w:val="00B15DC2"/>
    <w:rsid w:val="00B16C81"/>
    <w:rsid w:val="00B17BFB"/>
    <w:rsid w:val="00B2031E"/>
    <w:rsid w:val="00B2151A"/>
    <w:rsid w:val="00B21626"/>
    <w:rsid w:val="00B22B37"/>
    <w:rsid w:val="00B2478E"/>
    <w:rsid w:val="00B25888"/>
    <w:rsid w:val="00B259DA"/>
    <w:rsid w:val="00B26597"/>
    <w:rsid w:val="00B269BF"/>
    <w:rsid w:val="00B270C6"/>
    <w:rsid w:val="00B30147"/>
    <w:rsid w:val="00B30807"/>
    <w:rsid w:val="00B313EE"/>
    <w:rsid w:val="00B345D1"/>
    <w:rsid w:val="00B34A8E"/>
    <w:rsid w:val="00B354C6"/>
    <w:rsid w:val="00B35B29"/>
    <w:rsid w:val="00B36B15"/>
    <w:rsid w:val="00B40306"/>
    <w:rsid w:val="00B408AF"/>
    <w:rsid w:val="00B428F3"/>
    <w:rsid w:val="00B42A7F"/>
    <w:rsid w:val="00B42B6F"/>
    <w:rsid w:val="00B45083"/>
    <w:rsid w:val="00B464D9"/>
    <w:rsid w:val="00B47D4B"/>
    <w:rsid w:val="00B52F91"/>
    <w:rsid w:val="00B54625"/>
    <w:rsid w:val="00B54CB2"/>
    <w:rsid w:val="00B561CC"/>
    <w:rsid w:val="00B56C15"/>
    <w:rsid w:val="00B6137A"/>
    <w:rsid w:val="00B62E65"/>
    <w:rsid w:val="00B63404"/>
    <w:rsid w:val="00B64F97"/>
    <w:rsid w:val="00B65D16"/>
    <w:rsid w:val="00B670C3"/>
    <w:rsid w:val="00B6723C"/>
    <w:rsid w:val="00B675E8"/>
    <w:rsid w:val="00B678B5"/>
    <w:rsid w:val="00B70E31"/>
    <w:rsid w:val="00B71C6F"/>
    <w:rsid w:val="00B720A4"/>
    <w:rsid w:val="00B74406"/>
    <w:rsid w:val="00B7443E"/>
    <w:rsid w:val="00B75AAE"/>
    <w:rsid w:val="00B75CC6"/>
    <w:rsid w:val="00B761B3"/>
    <w:rsid w:val="00B77303"/>
    <w:rsid w:val="00B8078B"/>
    <w:rsid w:val="00B81183"/>
    <w:rsid w:val="00B81A3B"/>
    <w:rsid w:val="00B82836"/>
    <w:rsid w:val="00B832B0"/>
    <w:rsid w:val="00B83B2C"/>
    <w:rsid w:val="00B84FB2"/>
    <w:rsid w:val="00B85080"/>
    <w:rsid w:val="00B87D88"/>
    <w:rsid w:val="00B87F94"/>
    <w:rsid w:val="00B9004F"/>
    <w:rsid w:val="00B902DF"/>
    <w:rsid w:val="00B907E3"/>
    <w:rsid w:val="00B917F9"/>
    <w:rsid w:val="00B93AC4"/>
    <w:rsid w:val="00B95F4E"/>
    <w:rsid w:val="00B97B17"/>
    <w:rsid w:val="00B97C2A"/>
    <w:rsid w:val="00BA0244"/>
    <w:rsid w:val="00BA17E9"/>
    <w:rsid w:val="00BA1941"/>
    <w:rsid w:val="00BA1B5B"/>
    <w:rsid w:val="00BA2011"/>
    <w:rsid w:val="00BA2493"/>
    <w:rsid w:val="00BA27A6"/>
    <w:rsid w:val="00BA2951"/>
    <w:rsid w:val="00BA4080"/>
    <w:rsid w:val="00BB0088"/>
    <w:rsid w:val="00BB1B5E"/>
    <w:rsid w:val="00BB33D9"/>
    <w:rsid w:val="00BB4987"/>
    <w:rsid w:val="00BB581F"/>
    <w:rsid w:val="00BB6C86"/>
    <w:rsid w:val="00BC1943"/>
    <w:rsid w:val="00BC2FE3"/>
    <w:rsid w:val="00BC337D"/>
    <w:rsid w:val="00BC3DA9"/>
    <w:rsid w:val="00BC4D92"/>
    <w:rsid w:val="00BC57BF"/>
    <w:rsid w:val="00BC589A"/>
    <w:rsid w:val="00BC5A3B"/>
    <w:rsid w:val="00BC6108"/>
    <w:rsid w:val="00BC66DC"/>
    <w:rsid w:val="00BC6C66"/>
    <w:rsid w:val="00BD0775"/>
    <w:rsid w:val="00BD3913"/>
    <w:rsid w:val="00BD498F"/>
    <w:rsid w:val="00BD519D"/>
    <w:rsid w:val="00BD59D4"/>
    <w:rsid w:val="00BE0AD5"/>
    <w:rsid w:val="00BE23E5"/>
    <w:rsid w:val="00BE3B96"/>
    <w:rsid w:val="00BE5B38"/>
    <w:rsid w:val="00BF2951"/>
    <w:rsid w:val="00BF3757"/>
    <w:rsid w:val="00BF43B4"/>
    <w:rsid w:val="00BF48FB"/>
    <w:rsid w:val="00BF5325"/>
    <w:rsid w:val="00BF594D"/>
    <w:rsid w:val="00BF5FF1"/>
    <w:rsid w:val="00BF656E"/>
    <w:rsid w:val="00BF77C7"/>
    <w:rsid w:val="00BF7A5C"/>
    <w:rsid w:val="00C004E1"/>
    <w:rsid w:val="00C00946"/>
    <w:rsid w:val="00C0130C"/>
    <w:rsid w:val="00C02516"/>
    <w:rsid w:val="00C04784"/>
    <w:rsid w:val="00C07992"/>
    <w:rsid w:val="00C100D7"/>
    <w:rsid w:val="00C10424"/>
    <w:rsid w:val="00C10B3E"/>
    <w:rsid w:val="00C10ECB"/>
    <w:rsid w:val="00C118C6"/>
    <w:rsid w:val="00C137CC"/>
    <w:rsid w:val="00C13940"/>
    <w:rsid w:val="00C14002"/>
    <w:rsid w:val="00C14369"/>
    <w:rsid w:val="00C14FD2"/>
    <w:rsid w:val="00C1517F"/>
    <w:rsid w:val="00C15C93"/>
    <w:rsid w:val="00C161AC"/>
    <w:rsid w:val="00C16643"/>
    <w:rsid w:val="00C16FD2"/>
    <w:rsid w:val="00C17597"/>
    <w:rsid w:val="00C20B51"/>
    <w:rsid w:val="00C21A7B"/>
    <w:rsid w:val="00C21E29"/>
    <w:rsid w:val="00C23F40"/>
    <w:rsid w:val="00C241A6"/>
    <w:rsid w:val="00C24D4A"/>
    <w:rsid w:val="00C26609"/>
    <w:rsid w:val="00C26C91"/>
    <w:rsid w:val="00C2781F"/>
    <w:rsid w:val="00C300BA"/>
    <w:rsid w:val="00C311AD"/>
    <w:rsid w:val="00C33264"/>
    <w:rsid w:val="00C33908"/>
    <w:rsid w:val="00C33D76"/>
    <w:rsid w:val="00C356A3"/>
    <w:rsid w:val="00C378F5"/>
    <w:rsid w:val="00C405D2"/>
    <w:rsid w:val="00C41609"/>
    <w:rsid w:val="00C43FCE"/>
    <w:rsid w:val="00C441A8"/>
    <w:rsid w:val="00C44342"/>
    <w:rsid w:val="00C46E2F"/>
    <w:rsid w:val="00C475A5"/>
    <w:rsid w:val="00C47F93"/>
    <w:rsid w:val="00C509A4"/>
    <w:rsid w:val="00C51FFD"/>
    <w:rsid w:val="00C52DB2"/>
    <w:rsid w:val="00C53438"/>
    <w:rsid w:val="00C53A95"/>
    <w:rsid w:val="00C54094"/>
    <w:rsid w:val="00C6293A"/>
    <w:rsid w:val="00C65387"/>
    <w:rsid w:val="00C6738E"/>
    <w:rsid w:val="00C67D3A"/>
    <w:rsid w:val="00C67E0E"/>
    <w:rsid w:val="00C717DC"/>
    <w:rsid w:val="00C7213E"/>
    <w:rsid w:val="00C721D3"/>
    <w:rsid w:val="00C72554"/>
    <w:rsid w:val="00C72E70"/>
    <w:rsid w:val="00C72EB2"/>
    <w:rsid w:val="00C72F6D"/>
    <w:rsid w:val="00C756D0"/>
    <w:rsid w:val="00C75C7D"/>
    <w:rsid w:val="00C76E9B"/>
    <w:rsid w:val="00C81936"/>
    <w:rsid w:val="00C81A71"/>
    <w:rsid w:val="00C81E9B"/>
    <w:rsid w:val="00C8318D"/>
    <w:rsid w:val="00C838EC"/>
    <w:rsid w:val="00C8531F"/>
    <w:rsid w:val="00C855D5"/>
    <w:rsid w:val="00C86133"/>
    <w:rsid w:val="00C87126"/>
    <w:rsid w:val="00C90679"/>
    <w:rsid w:val="00C920CF"/>
    <w:rsid w:val="00C923EE"/>
    <w:rsid w:val="00C93B7B"/>
    <w:rsid w:val="00C94220"/>
    <w:rsid w:val="00C96348"/>
    <w:rsid w:val="00C96DDD"/>
    <w:rsid w:val="00C97578"/>
    <w:rsid w:val="00CA2258"/>
    <w:rsid w:val="00CA3DA8"/>
    <w:rsid w:val="00CA4573"/>
    <w:rsid w:val="00CA5D85"/>
    <w:rsid w:val="00CA6C7B"/>
    <w:rsid w:val="00CA6F1C"/>
    <w:rsid w:val="00CA7662"/>
    <w:rsid w:val="00CB16D9"/>
    <w:rsid w:val="00CB2EA1"/>
    <w:rsid w:val="00CB3DFD"/>
    <w:rsid w:val="00CB50A2"/>
    <w:rsid w:val="00CB54EC"/>
    <w:rsid w:val="00CB59FF"/>
    <w:rsid w:val="00CC0FB0"/>
    <w:rsid w:val="00CC1432"/>
    <w:rsid w:val="00CC5AD2"/>
    <w:rsid w:val="00CD20AF"/>
    <w:rsid w:val="00CD285D"/>
    <w:rsid w:val="00CD2957"/>
    <w:rsid w:val="00CD3923"/>
    <w:rsid w:val="00CD4C82"/>
    <w:rsid w:val="00CD5568"/>
    <w:rsid w:val="00CD7B4F"/>
    <w:rsid w:val="00CD7D90"/>
    <w:rsid w:val="00CE1903"/>
    <w:rsid w:val="00CE1921"/>
    <w:rsid w:val="00CE2562"/>
    <w:rsid w:val="00CE287E"/>
    <w:rsid w:val="00CE29DB"/>
    <w:rsid w:val="00CE422E"/>
    <w:rsid w:val="00CE4856"/>
    <w:rsid w:val="00CE4C65"/>
    <w:rsid w:val="00CE596D"/>
    <w:rsid w:val="00CE5ED6"/>
    <w:rsid w:val="00CE60E4"/>
    <w:rsid w:val="00CE614C"/>
    <w:rsid w:val="00CE65C6"/>
    <w:rsid w:val="00CE713B"/>
    <w:rsid w:val="00CE76D8"/>
    <w:rsid w:val="00CE7CC4"/>
    <w:rsid w:val="00CF0604"/>
    <w:rsid w:val="00CF1B4E"/>
    <w:rsid w:val="00CF5229"/>
    <w:rsid w:val="00CF6B01"/>
    <w:rsid w:val="00CF6B8F"/>
    <w:rsid w:val="00CF6C9A"/>
    <w:rsid w:val="00D00D1C"/>
    <w:rsid w:val="00D00FE6"/>
    <w:rsid w:val="00D023ED"/>
    <w:rsid w:val="00D025C4"/>
    <w:rsid w:val="00D0274D"/>
    <w:rsid w:val="00D0357F"/>
    <w:rsid w:val="00D04852"/>
    <w:rsid w:val="00D04E13"/>
    <w:rsid w:val="00D0654C"/>
    <w:rsid w:val="00D104B9"/>
    <w:rsid w:val="00D1093D"/>
    <w:rsid w:val="00D114A8"/>
    <w:rsid w:val="00D11A8F"/>
    <w:rsid w:val="00D11AF2"/>
    <w:rsid w:val="00D122B9"/>
    <w:rsid w:val="00D146EC"/>
    <w:rsid w:val="00D148A3"/>
    <w:rsid w:val="00D2070D"/>
    <w:rsid w:val="00D20F3B"/>
    <w:rsid w:val="00D21ED2"/>
    <w:rsid w:val="00D23240"/>
    <w:rsid w:val="00D2677C"/>
    <w:rsid w:val="00D26A5B"/>
    <w:rsid w:val="00D30AC9"/>
    <w:rsid w:val="00D327C1"/>
    <w:rsid w:val="00D32FB8"/>
    <w:rsid w:val="00D340FD"/>
    <w:rsid w:val="00D34B7E"/>
    <w:rsid w:val="00D3774F"/>
    <w:rsid w:val="00D4019B"/>
    <w:rsid w:val="00D40AA0"/>
    <w:rsid w:val="00D413E9"/>
    <w:rsid w:val="00D41505"/>
    <w:rsid w:val="00D41AC2"/>
    <w:rsid w:val="00D421F5"/>
    <w:rsid w:val="00D43E87"/>
    <w:rsid w:val="00D455D7"/>
    <w:rsid w:val="00D5156C"/>
    <w:rsid w:val="00D52447"/>
    <w:rsid w:val="00D53C47"/>
    <w:rsid w:val="00D556F1"/>
    <w:rsid w:val="00D563EA"/>
    <w:rsid w:val="00D57FBD"/>
    <w:rsid w:val="00D6259A"/>
    <w:rsid w:val="00D62949"/>
    <w:rsid w:val="00D6390F"/>
    <w:rsid w:val="00D639E9"/>
    <w:rsid w:val="00D656FC"/>
    <w:rsid w:val="00D67B46"/>
    <w:rsid w:val="00D67F21"/>
    <w:rsid w:val="00D71BCA"/>
    <w:rsid w:val="00D724F4"/>
    <w:rsid w:val="00D72DCC"/>
    <w:rsid w:val="00D73687"/>
    <w:rsid w:val="00D73703"/>
    <w:rsid w:val="00D754EF"/>
    <w:rsid w:val="00D775C4"/>
    <w:rsid w:val="00D777C8"/>
    <w:rsid w:val="00D8010A"/>
    <w:rsid w:val="00D81316"/>
    <w:rsid w:val="00D82D5F"/>
    <w:rsid w:val="00D83477"/>
    <w:rsid w:val="00D8406F"/>
    <w:rsid w:val="00D8508A"/>
    <w:rsid w:val="00D86233"/>
    <w:rsid w:val="00D86ABF"/>
    <w:rsid w:val="00D902B2"/>
    <w:rsid w:val="00D91455"/>
    <w:rsid w:val="00D91E65"/>
    <w:rsid w:val="00D92A38"/>
    <w:rsid w:val="00D934D0"/>
    <w:rsid w:val="00D95293"/>
    <w:rsid w:val="00D96751"/>
    <w:rsid w:val="00D96EF3"/>
    <w:rsid w:val="00D97546"/>
    <w:rsid w:val="00D97FEC"/>
    <w:rsid w:val="00DA1942"/>
    <w:rsid w:val="00DA1CB2"/>
    <w:rsid w:val="00DA2CFE"/>
    <w:rsid w:val="00DA4D10"/>
    <w:rsid w:val="00DA59CA"/>
    <w:rsid w:val="00DB397F"/>
    <w:rsid w:val="00DB4826"/>
    <w:rsid w:val="00DB4D44"/>
    <w:rsid w:val="00DB5228"/>
    <w:rsid w:val="00DB6B08"/>
    <w:rsid w:val="00DB6F64"/>
    <w:rsid w:val="00DC00BE"/>
    <w:rsid w:val="00DC2EB3"/>
    <w:rsid w:val="00DC3AB8"/>
    <w:rsid w:val="00DC4CA0"/>
    <w:rsid w:val="00DC5845"/>
    <w:rsid w:val="00DC6C97"/>
    <w:rsid w:val="00DC7179"/>
    <w:rsid w:val="00DD0074"/>
    <w:rsid w:val="00DD0B58"/>
    <w:rsid w:val="00DD0F9B"/>
    <w:rsid w:val="00DD42EB"/>
    <w:rsid w:val="00DD4920"/>
    <w:rsid w:val="00DD50B4"/>
    <w:rsid w:val="00DD5D38"/>
    <w:rsid w:val="00DD79DE"/>
    <w:rsid w:val="00DE20EC"/>
    <w:rsid w:val="00DE30F9"/>
    <w:rsid w:val="00DE3413"/>
    <w:rsid w:val="00DE34B5"/>
    <w:rsid w:val="00DE3C60"/>
    <w:rsid w:val="00DE528B"/>
    <w:rsid w:val="00DE54FF"/>
    <w:rsid w:val="00DE616B"/>
    <w:rsid w:val="00DE7D68"/>
    <w:rsid w:val="00DF0887"/>
    <w:rsid w:val="00DF3853"/>
    <w:rsid w:val="00DF4FBE"/>
    <w:rsid w:val="00DF643C"/>
    <w:rsid w:val="00DF6E1B"/>
    <w:rsid w:val="00E0094E"/>
    <w:rsid w:val="00E00B9E"/>
    <w:rsid w:val="00E00BA9"/>
    <w:rsid w:val="00E00E5D"/>
    <w:rsid w:val="00E03BB2"/>
    <w:rsid w:val="00E03CF1"/>
    <w:rsid w:val="00E049C7"/>
    <w:rsid w:val="00E04C1C"/>
    <w:rsid w:val="00E06FE5"/>
    <w:rsid w:val="00E108CA"/>
    <w:rsid w:val="00E146A5"/>
    <w:rsid w:val="00E1495B"/>
    <w:rsid w:val="00E14F89"/>
    <w:rsid w:val="00E156AA"/>
    <w:rsid w:val="00E1664E"/>
    <w:rsid w:val="00E16BA4"/>
    <w:rsid w:val="00E2051A"/>
    <w:rsid w:val="00E20A6B"/>
    <w:rsid w:val="00E234A2"/>
    <w:rsid w:val="00E2445C"/>
    <w:rsid w:val="00E26896"/>
    <w:rsid w:val="00E26F41"/>
    <w:rsid w:val="00E2717F"/>
    <w:rsid w:val="00E27590"/>
    <w:rsid w:val="00E27834"/>
    <w:rsid w:val="00E30F1B"/>
    <w:rsid w:val="00E31756"/>
    <w:rsid w:val="00E33BD4"/>
    <w:rsid w:val="00E34BC7"/>
    <w:rsid w:val="00E34E7C"/>
    <w:rsid w:val="00E35C6E"/>
    <w:rsid w:val="00E36682"/>
    <w:rsid w:val="00E36A9B"/>
    <w:rsid w:val="00E37BB4"/>
    <w:rsid w:val="00E4061A"/>
    <w:rsid w:val="00E41B53"/>
    <w:rsid w:val="00E41CDF"/>
    <w:rsid w:val="00E43607"/>
    <w:rsid w:val="00E44323"/>
    <w:rsid w:val="00E466D6"/>
    <w:rsid w:val="00E46B95"/>
    <w:rsid w:val="00E4759B"/>
    <w:rsid w:val="00E521ED"/>
    <w:rsid w:val="00E52D39"/>
    <w:rsid w:val="00E552FC"/>
    <w:rsid w:val="00E56A8B"/>
    <w:rsid w:val="00E57C84"/>
    <w:rsid w:val="00E57FC3"/>
    <w:rsid w:val="00E60986"/>
    <w:rsid w:val="00E60C5D"/>
    <w:rsid w:val="00E62592"/>
    <w:rsid w:val="00E64D7F"/>
    <w:rsid w:val="00E65BF0"/>
    <w:rsid w:val="00E669DD"/>
    <w:rsid w:val="00E66CF9"/>
    <w:rsid w:val="00E67626"/>
    <w:rsid w:val="00E71B8F"/>
    <w:rsid w:val="00E7234E"/>
    <w:rsid w:val="00E738EA"/>
    <w:rsid w:val="00E75194"/>
    <w:rsid w:val="00E76CA0"/>
    <w:rsid w:val="00E77B7C"/>
    <w:rsid w:val="00E77E93"/>
    <w:rsid w:val="00E8052C"/>
    <w:rsid w:val="00E81231"/>
    <w:rsid w:val="00E81E31"/>
    <w:rsid w:val="00E82279"/>
    <w:rsid w:val="00E82CCD"/>
    <w:rsid w:val="00E87274"/>
    <w:rsid w:val="00E8755D"/>
    <w:rsid w:val="00E87806"/>
    <w:rsid w:val="00E90132"/>
    <w:rsid w:val="00E93430"/>
    <w:rsid w:val="00E94A02"/>
    <w:rsid w:val="00E9668E"/>
    <w:rsid w:val="00EA0696"/>
    <w:rsid w:val="00EA1F37"/>
    <w:rsid w:val="00EA3ACC"/>
    <w:rsid w:val="00EA5F03"/>
    <w:rsid w:val="00EA7D99"/>
    <w:rsid w:val="00EB0E4C"/>
    <w:rsid w:val="00EB0ED1"/>
    <w:rsid w:val="00EB2EF2"/>
    <w:rsid w:val="00EB2EF6"/>
    <w:rsid w:val="00EB300F"/>
    <w:rsid w:val="00EB3A2F"/>
    <w:rsid w:val="00EB7606"/>
    <w:rsid w:val="00EC07C9"/>
    <w:rsid w:val="00EC1B2D"/>
    <w:rsid w:val="00EC1D21"/>
    <w:rsid w:val="00EC1ED0"/>
    <w:rsid w:val="00EC6233"/>
    <w:rsid w:val="00EC6C7D"/>
    <w:rsid w:val="00ED0583"/>
    <w:rsid w:val="00ED5A8D"/>
    <w:rsid w:val="00EE021B"/>
    <w:rsid w:val="00EE0F8C"/>
    <w:rsid w:val="00EE2804"/>
    <w:rsid w:val="00EE2A30"/>
    <w:rsid w:val="00EE2BA5"/>
    <w:rsid w:val="00EE2C65"/>
    <w:rsid w:val="00EE2D4D"/>
    <w:rsid w:val="00EE40B8"/>
    <w:rsid w:val="00EE5170"/>
    <w:rsid w:val="00EE5ECE"/>
    <w:rsid w:val="00EE643F"/>
    <w:rsid w:val="00EE7B9E"/>
    <w:rsid w:val="00EE7BBF"/>
    <w:rsid w:val="00EF19D6"/>
    <w:rsid w:val="00EF3B3A"/>
    <w:rsid w:val="00F00693"/>
    <w:rsid w:val="00F0139E"/>
    <w:rsid w:val="00F0203A"/>
    <w:rsid w:val="00F038FE"/>
    <w:rsid w:val="00F054E1"/>
    <w:rsid w:val="00F061DF"/>
    <w:rsid w:val="00F07D14"/>
    <w:rsid w:val="00F10294"/>
    <w:rsid w:val="00F1061A"/>
    <w:rsid w:val="00F11ACC"/>
    <w:rsid w:val="00F11C63"/>
    <w:rsid w:val="00F1358A"/>
    <w:rsid w:val="00F1556E"/>
    <w:rsid w:val="00F16AC4"/>
    <w:rsid w:val="00F2047C"/>
    <w:rsid w:val="00F21FF7"/>
    <w:rsid w:val="00F301D4"/>
    <w:rsid w:val="00F337C9"/>
    <w:rsid w:val="00F33844"/>
    <w:rsid w:val="00F346E0"/>
    <w:rsid w:val="00F34E91"/>
    <w:rsid w:val="00F35673"/>
    <w:rsid w:val="00F35769"/>
    <w:rsid w:val="00F35FE4"/>
    <w:rsid w:val="00F37F70"/>
    <w:rsid w:val="00F4260F"/>
    <w:rsid w:val="00F42B5F"/>
    <w:rsid w:val="00F432EB"/>
    <w:rsid w:val="00F4349E"/>
    <w:rsid w:val="00F4373A"/>
    <w:rsid w:val="00F43D6E"/>
    <w:rsid w:val="00F43E4A"/>
    <w:rsid w:val="00F449D8"/>
    <w:rsid w:val="00F45976"/>
    <w:rsid w:val="00F50AEB"/>
    <w:rsid w:val="00F50C7C"/>
    <w:rsid w:val="00F50C84"/>
    <w:rsid w:val="00F52EF1"/>
    <w:rsid w:val="00F538EA"/>
    <w:rsid w:val="00F539CF"/>
    <w:rsid w:val="00F5410C"/>
    <w:rsid w:val="00F54B68"/>
    <w:rsid w:val="00F61054"/>
    <w:rsid w:val="00F63662"/>
    <w:rsid w:val="00F63C0A"/>
    <w:rsid w:val="00F63DB2"/>
    <w:rsid w:val="00F63EF2"/>
    <w:rsid w:val="00F64C18"/>
    <w:rsid w:val="00F65266"/>
    <w:rsid w:val="00F65AD2"/>
    <w:rsid w:val="00F66540"/>
    <w:rsid w:val="00F6744C"/>
    <w:rsid w:val="00F70D19"/>
    <w:rsid w:val="00F727A6"/>
    <w:rsid w:val="00F72A79"/>
    <w:rsid w:val="00F72A9F"/>
    <w:rsid w:val="00F72D00"/>
    <w:rsid w:val="00F739C3"/>
    <w:rsid w:val="00F73C28"/>
    <w:rsid w:val="00F73E43"/>
    <w:rsid w:val="00F7563A"/>
    <w:rsid w:val="00F77041"/>
    <w:rsid w:val="00F82EF6"/>
    <w:rsid w:val="00F83360"/>
    <w:rsid w:val="00F83982"/>
    <w:rsid w:val="00F8427C"/>
    <w:rsid w:val="00F8502C"/>
    <w:rsid w:val="00F85295"/>
    <w:rsid w:val="00F8596F"/>
    <w:rsid w:val="00F862A3"/>
    <w:rsid w:val="00F86314"/>
    <w:rsid w:val="00F903BE"/>
    <w:rsid w:val="00F910A6"/>
    <w:rsid w:val="00F91208"/>
    <w:rsid w:val="00F91812"/>
    <w:rsid w:val="00F92540"/>
    <w:rsid w:val="00F92974"/>
    <w:rsid w:val="00F939C0"/>
    <w:rsid w:val="00F94690"/>
    <w:rsid w:val="00F978A4"/>
    <w:rsid w:val="00FA0BF7"/>
    <w:rsid w:val="00FA1CC8"/>
    <w:rsid w:val="00FA2346"/>
    <w:rsid w:val="00FA38F0"/>
    <w:rsid w:val="00FA3C3E"/>
    <w:rsid w:val="00FA3C44"/>
    <w:rsid w:val="00FA52D8"/>
    <w:rsid w:val="00FA5D66"/>
    <w:rsid w:val="00FA63C3"/>
    <w:rsid w:val="00FA715E"/>
    <w:rsid w:val="00FA7290"/>
    <w:rsid w:val="00FB0017"/>
    <w:rsid w:val="00FB0CA6"/>
    <w:rsid w:val="00FB12D2"/>
    <w:rsid w:val="00FB1DDA"/>
    <w:rsid w:val="00FB2E9C"/>
    <w:rsid w:val="00FB5B69"/>
    <w:rsid w:val="00FB5C29"/>
    <w:rsid w:val="00FB5CB7"/>
    <w:rsid w:val="00FB670C"/>
    <w:rsid w:val="00FB74A6"/>
    <w:rsid w:val="00FB7E3A"/>
    <w:rsid w:val="00FC27B6"/>
    <w:rsid w:val="00FC3548"/>
    <w:rsid w:val="00FC4B30"/>
    <w:rsid w:val="00FC59FC"/>
    <w:rsid w:val="00FC5B90"/>
    <w:rsid w:val="00FC6A97"/>
    <w:rsid w:val="00FD0724"/>
    <w:rsid w:val="00FD0D9C"/>
    <w:rsid w:val="00FD12BE"/>
    <w:rsid w:val="00FD235F"/>
    <w:rsid w:val="00FD2769"/>
    <w:rsid w:val="00FD485D"/>
    <w:rsid w:val="00FD70D5"/>
    <w:rsid w:val="00FD73F9"/>
    <w:rsid w:val="00FE088E"/>
    <w:rsid w:val="00FE1780"/>
    <w:rsid w:val="00FE2AA1"/>
    <w:rsid w:val="00FE381A"/>
    <w:rsid w:val="00FE52DD"/>
    <w:rsid w:val="00FE5BDD"/>
    <w:rsid w:val="00FE6111"/>
    <w:rsid w:val="00FE7359"/>
    <w:rsid w:val="00FF04D5"/>
    <w:rsid w:val="00FF1827"/>
    <w:rsid w:val="00FF2015"/>
    <w:rsid w:val="00FF22DF"/>
    <w:rsid w:val="00FF5132"/>
    <w:rsid w:val="00FF5F6F"/>
    <w:rsid w:val="00FF6B18"/>
    <w:rsid w:val="00FF718B"/>
    <w:rsid w:val="00FF7219"/>
    <w:rsid w:val="00FF73C9"/>
    <w:rsid w:val="00FF783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bbe0e3">
      <v:fill color="#bbe0e3"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2D39"/>
    <w:rPr>
      <w:rFonts w:ascii="Arial" w:hAnsi="Arial" w:cs="Arial"/>
      <w:sz w:val="24"/>
      <w:szCs w:val="24"/>
      <w:lang w:eastAsia="en-US"/>
    </w:rPr>
  </w:style>
  <w:style w:type="paragraph" w:styleId="berschrift1">
    <w:name w:val="heading 1"/>
    <w:basedOn w:val="Standard"/>
    <w:next w:val="Standard"/>
    <w:qFormat/>
    <w:rsid w:val="00E52D39"/>
    <w:pPr>
      <w:keepNext/>
      <w:outlineLvl w:val="0"/>
    </w:pPr>
    <w:rPr>
      <w:b/>
      <w:bCs/>
    </w:rPr>
  </w:style>
  <w:style w:type="paragraph" w:styleId="berschrift2">
    <w:name w:val="heading 2"/>
    <w:basedOn w:val="Standard"/>
    <w:next w:val="Standard"/>
    <w:qFormat/>
    <w:rsid w:val="00E52D39"/>
    <w:pPr>
      <w:keepNext/>
      <w:outlineLvl w:val="1"/>
    </w:pPr>
    <w:rPr>
      <w:b/>
      <w:bCs/>
      <w:sz w:val="22"/>
      <w:szCs w:val="22"/>
    </w:rPr>
  </w:style>
  <w:style w:type="paragraph" w:styleId="berschrift3">
    <w:name w:val="heading 3"/>
    <w:basedOn w:val="Standard"/>
    <w:next w:val="Standard"/>
    <w:qFormat/>
    <w:rsid w:val="00E52D39"/>
    <w:pPr>
      <w:keepNext/>
      <w:jc w:val="center"/>
      <w:outlineLvl w:val="2"/>
    </w:pPr>
    <w:rPr>
      <w:sz w:val="16"/>
      <w:szCs w:val="16"/>
      <w:u w:val="single"/>
    </w:rPr>
  </w:style>
  <w:style w:type="paragraph" w:styleId="berschrift4">
    <w:name w:val="heading 4"/>
    <w:basedOn w:val="Standard"/>
    <w:next w:val="Standard"/>
    <w:link w:val="berschrift4Zchn"/>
    <w:qFormat/>
    <w:rsid w:val="00E52D39"/>
    <w:pPr>
      <w:keepNext/>
      <w:outlineLvl w:val="3"/>
    </w:pPr>
    <w:rPr>
      <w:sz w:val="22"/>
      <w:szCs w:val="22"/>
      <w:u w:val="single"/>
    </w:rPr>
  </w:style>
  <w:style w:type="paragraph" w:styleId="berschrift5">
    <w:name w:val="heading 5"/>
    <w:basedOn w:val="Standard"/>
    <w:next w:val="Standard"/>
    <w:qFormat/>
    <w:rsid w:val="00E52D39"/>
    <w:pPr>
      <w:keepNext/>
      <w:jc w:val="both"/>
      <w:outlineLvl w:val="4"/>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E52D39"/>
    <w:pPr>
      <w:tabs>
        <w:tab w:val="left" w:pos="709"/>
      </w:tabs>
    </w:pPr>
  </w:style>
  <w:style w:type="paragraph" w:styleId="Kopfzeile">
    <w:name w:val="header"/>
    <w:basedOn w:val="Standard"/>
    <w:rsid w:val="00E52D39"/>
    <w:pPr>
      <w:tabs>
        <w:tab w:val="center" w:pos="4536"/>
        <w:tab w:val="right" w:pos="9072"/>
      </w:tabs>
    </w:pPr>
  </w:style>
  <w:style w:type="paragraph" w:styleId="Fuzeile">
    <w:name w:val="footer"/>
    <w:basedOn w:val="Standard"/>
    <w:rsid w:val="00E52D39"/>
    <w:pPr>
      <w:tabs>
        <w:tab w:val="center" w:pos="4536"/>
        <w:tab w:val="right" w:pos="9072"/>
      </w:tabs>
    </w:pPr>
  </w:style>
  <w:style w:type="paragraph" w:styleId="Textkrper">
    <w:name w:val="Body Text"/>
    <w:basedOn w:val="Standard"/>
    <w:link w:val="TextkrperZchn"/>
    <w:rsid w:val="00E52D39"/>
    <w:pPr>
      <w:jc w:val="both"/>
    </w:pPr>
    <w:rPr>
      <w:b/>
      <w:bCs/>
    </w:rPr>
  </w:style>
  <w:style w:type="paragraph" w:styleId="Textkrper2">
    <w:name w:val="Body Text 2"/>
    <w:basedOn w:val="Standard"/>
    <w:rsid w:val="00E52D39"/>
    <w:pPr>
      <w:jc w:val="both"/>
    </w:pPr>
    <w:rPr>
      <w:sz w:val="22"/>
      <w:szCs w:val="22"/>
    </w:rPr>
  </w:style>
  <w:style w:type="character" w:styleId="Seitenzahl">
    <w:name w:val="page number"/>
    <w:basedOn w:val="Absatz-Standardschriftart"/>
    <w:rsid w:val="00E52D39"/>
  </w:style>
  <w:style w:type="paragraph" w:styleId="Textkrper3">
    <w:name w:val="Body Text 3"/>
    <w:basedOn w:val="Standard"/>
    <w:rsid w:val="00E52D39"/>
    <w:rPr>
      <w:sz w:val="16"/>
      <w:szCs w:val="16"/>
    </w:rPr>
  </w:style>
  <w:style w:type="paragraph" w:styleId="Sprechblasentext">
    <w:name w:val="Balloon Text"/>
    <w:basedOn w:val="Standard"/>
    <w:semiHidden/>
    <w:rsid w:val="00E52D39"/>
    <w:rPr>
      <w:rFonts w:ascii="Tahoma" w:hAnsi="Tahoma" w:cs="Tahoma"/>
      <w:sz w:val="16"/>
      <w:szCs w:val="16"/>
    </w:rPr>
  </w:style>
  <w:style w:type="table" w:styleId="Tabellengitternetz">
    <w:name w:val="Table Grid"/>
    <w:basedOn w:val="NormaleTabelle"/>
    <w:rsid w:val="00325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nt">
    <w:name w:val="Fint"/>
    <w:basedOn w:val="Standard"/>
    <w:rsid w:val="00825CC1"/>
    <w:rPr>
      <w:rFonts w:cs="Times New Roman"/>
      <w:szCs w:val="20"/>
      <w:lang w:eastAsia="de-DE"/>
    </w:rPr>
  </w:style>
  <w:style w:type="character" w:customStyle="1" w:styleId="TextkrperZchn">
    <w:name w:val="Textkörper Zchn"/>
    <w:basedOn w:val="Absatz-Standardschriftart"/>
    <w:link w:val="Textkrper"/>
    <w:rsid w:val="00FD2769"/>
    <w:rPr>
      <w:rFonts w:ascii="Arial" w:hAnsi="Arial" w:cs="Arial"/>
      <w:b/>
      <w:bCs/>
      <w:sz w:val="24"/>
      <w:szCs w:val="24"/>
      <w:lang w:eastAsia="en-US"/>
    </w:rPr>
  </w:style>
  <w:style w:type="character" w:customStyle="1" w:styleId="berschrift4Zchn">
    <w:name w:val="Überschrift 4 Zchn"/>
    <w:basedOn w:val="Absatz-Standardschriftart"/>
    <w:link w:val="berschrift4"/>
    <w:rsid w:val="00FF5132"/>
    <w:rPr>
      <w:rFonts w:ascii="Arial" w:hAnsi="Arial" w:cs="Arial"/>
      <w:sz w:val="22"/>
      <w:szCs w:val="22"/>
      <w:u w:val="single"/>
      <w:lang w:eastAsia="en-US"/>
    </w:rPr>
  </w:style>
</w:styles>
</file>

<file path=word/webSettings.xml><?xml version="1.0" encoding="utf-8"?>
<w:webSettings xmlns:r="http://schemas.openxmlformats.org/officeDocument/2006/relationships" xmlns:w="http://schemas.openxmlformats.org/wordprocessingml/2006/main">
  <w:divs>
    <w:div w:id="12001232">
      <w:bodyDiv w:val="1"/>
      <w:marLeft w:val="0"/>
      <w:marRight w:val="0"/>
      <w:marTop w:val="0"/>
      <w:marBottom w:val="0"/>
      <w:divBdr>
        <w:top w:val="none" w:sz="0" w:space="0" w:color="auto"/>
        <w:left w:val="none" w:sz="0" w:space="0" w:color="auto"/>
        <w:bottom w:val="none" w:sz="0" w:space="0" w:color="auto"/>
        <w:right w:val="none" w:sz="0" w:space="0" w:color="auto"/>
      </w:divBdr>
    </w:div>
    <w:div w:id="22680065">
      <w:bodyDiv w:val="1"/>
      <w:marLeft w:val="0"/>
      <w:marRight w:val="0"/>
      <w:marTop w:val="0"/>
      <w:marBottom w:val="0"/>
      <w:divBdr>
        <w:top w:val="none" w:sz="0" w:space="0" w:color="auto"/>
        <w:left w:val="none" w:sz="0" w:space="0" w:color="auto"/>
        <w:bottom w:val="none" w:sz="0" w:space="0" w:color="auto"/>
        <w:right w:val="none" w:sz="0" w:space="0" w:color="auto"/>
      </w:divBdr>
    </w:div>
    <w:div w:id="50544048">
      <w:bodyDiv w:val="1"/>
      <w:marLeft w:val="0"/>
      <w:marRight w:val="0"/>
      <w:marTop w:val="0"/>
      <w:marBottom w:val="0"/>
      <w:divBdr>
        <w:top w:val="none" w:sz="0" w:space="0" w:color="auto"/>
        <w:left w:val="none" w:sz="0" w:space="0" w:color="auto"/>
        <w:bottom w:val="none" w:sz="0" w:space="0" w:color="auto"/>
        <w:right w:val="none" w:sz="0" w:space="0" w:color="auto"/>
      </w:divBdr>
    </w:div>
    <w:div w:id="215089394">
      <w:bodyDiv w:val="1"/>
      <w:marLeft w:val="0"/>
      <w:marRight w:val="0"/>
      <w:marTop w:val="0"/>
      <w:marBottom w:val="0"/>
      <w:divBdr>
        <w:top w:val="none" w:sz="0" w:space="0" w:color="auto"/>
        <w:left w:val="none" w:sz="0" w:space="0" w:color="auto"/>
        <w:bottom w:val="none" w:sz="0" w:space="0" w:color="auto"/>
        <w:right w:val="none" w:sz="0" w:space="0" w:color="auto"/>
      </w:divBdr>
    </w:div>
    <w:div w:id="256327733">
      <w:bodyDiv w:val="1"/>
      <w:marLeft w:val="0"/>
      <w:marRight w:val="0"/>
      <w:marTop w:val="0"/>
      <w:marBottom w:val="0"/>
      <w:divBdr>
        <w:top w:val="none" w:sz="0" w:space="0" w:color="auto"/>
        <w:left w:val="none" w:sz="0" w:space="0" w:color="auto"/>
        <w:bottom w:val="none" w:sz="0" w:space="0" w:color="auto"/>
        <w:right w:val="none" w:sz="0" w:space="0" w:color="auto"/>
      </w:divBdr>
    </w:div>
    <w:div w:id="262884828">
      <w:bodyDiv w:val="1"/>
      <w:marLeft w:val="0"/>
      <w:marRight w:val="0"/>
      <w:marTop w:val="0"/>
      <w:marBottom w:val="0"/>
      <w:divBdr>
        <w:top w:val="none" w:sz="0" w:space="0" w:color="auto"/>
        <w:left w:val="none" w:sz="0" w:space="0" w:color="auto"/>
        <w:bottom w:val="none" w:sz="0" w:space="0" w:color="auto"/>
        <w:right w:val="none" w:sz="0" w:space="0" w:color="auto"/>
      </w:divBdr>
    </w:div>
    <w:div w:id="290405392">
      <w:bodyDiv w:val="1"/>
      <w:marLeft w:val="0"/>
      <w:marRight w:val="0"/>
      <w:marTop w:val="0"/>
      <w:marBottom w:val="0"/>
      <w:divBdr>
        <w:top w:val="none" w:sz="0" w:space="0" w:color="auto"/>
        <w:left w:val="none" w:sz="0" w:space="0" w:color="auto"/>
        <w:bottom w:val="none" w:sz="0" w:space="0" w:color="auto"/>
        <w:right w:val="none" w:sz="0" w:space="0" w:color="auto"/>
      </w:divBdr>
    </w:div>
    <w:div w:id="318730127">
      <w:bodyDiv w:val="1"/>
      <w:marLeft w:val="0"/>
      <w:marRight w:val="0"/>
      <w:marTop w:val="0"/>
      <w:marBottom w:val="0"/>
      <w:divBdr>
        <w:top w:val="none" w:sz="0" w:space="0" w:color="auto"/>
        <w:left w:val="none" w:sz="0" w:space="0" w:color="auto"/>
        <w:bottom w:val="none" w:sz="0" w:space="0" w:color="auto"/>
        <w:right w:val="none" w:sz="0" w:space="0" w:color="auto"/>
      </w:divBdr>
    </w:div>
    <w:div w:id="351037778">
      <w:bodyDiv w:val="1"/>
      <w:marLeft w:val="0"/>
      <w:marRight w:val="0"/>
      <w:marTop w:val="0"/>
      <w:marBottom w:val="0"/>
      <w:divBdr>
        <w:top w:val="none" w:sz="0" w:space="0" w:color="auto"/>
        <w:left w:val="none" w:sz="0" w:space="0" w:color="auto"/>
        <w:bottom w:val="none" w:sz="0" w:space="0" w:color="auto"/>
        <w:right w:val="none" w:sz="0" w:space="0" w:color="auto"/>
      </w:divBdr>
    </w:div>
    <w:div w:id="472798336">
      <w:bodyDiv w:val="1"/>
      <w:marLeft w:val="0"/>
      <w:marRight w:val="0"/>
      <w:marTop w:val="0"/>
      <w:marBottom w:val="0"/>
      <w:divBdr>
        <w:top w:val="none" w:sz="0" w:space="0" w:color="auto"/>
        <w:left w:val="none" w:sz="0" w:space="0" w:color="auto"/>
        <w:bottom w:val="none" w:sz="0" w:space="0" w:color="auto"/>
        <w:right w:val="none" w:sz="0" w:space="0" w:color="auto"/>
      </w:divBdr>
    </w:div>
    <w:div w:id="514153718">
      <w:bodyDiv w:val="1"/>
      <w:marLeft w:val="0"/>
      <w:marRight w:val="0"/>
      <w:marTop w:val="0"/>
      <w:marBottom w:val="0"/>
      <w:divBdr>
        <w:top w:val="none" w:sz="0" w:space="0" w:color="auto"/>
        <w:left w:val="none" w:sz="0" w:space="0" w:color="auto"/>
        <w:bottom w:val="none" w:sz="0" w:space="0" w:color="auto"/>
        <w:right w:val="none" w:sz="0" w:space="0" w:color="auto"/>
      </w:divBdr>
    </w:div>
    <w:div w:id="528226283">
      <w:bodyDiv w:val="1"/>
      <w:marLeft w:val="0"/>
      <w:marRight w:val="0"/>
      <w:marTop w:val="0"/>
      <w:marBottom w:val="0"/>
      <w:divBdr>
        <w:top w:val="none" w:sz="0" w:space="0" w:color="auto"/>
        <w:left w:val="none" w:sz="0" w:space="0" w:color="auto"/>
        <w:bottom w:val="none" w:sz="0" w:space="0" w:color="auto"/>
        <w:right w:val="none" w:sz="0" w:space="0" w:color="auto"/>
      </w:divBdr>
    </w:div>
    <w:div w:id="591166679">
      <w:bodyDiv w:val="1"/>
      <w:marLeft w:val="0"/>
      <w:marRight w:val="0"/>
      <w:marTop w:val="0"/>
      <w:marBottom w:val="0"/>
      <w:divBdr>
        <w:top w:val="none" w:sz="0" w:space="0" w:color="auto"/>
        <w:left w:val="none" w:sz="0" w:space="0" w:color="auto"/>
        <w:bottom w:val="none" w:sz="0" w:space="0" w:color="auto"/>
        <w:right w:val="none" w:sz="0" w:space="0" w:color="auto"/>
      </w:divBdr>
    </w:div>
    <w:div w:id="593242784">
      <w:bodyDiv w:val="1"/>
      <w:marLeft w:val="0"/>
      <w:marRight w:val="0"/>
      <w:marTop w:val="0"/>
      <w:marBottom w:val="0"/>
      <w:divBdr>
        <w:top w:val="none" w:sz="0" w:space="0" w:color="auto"/>
        <w:left w:val="none" w:sz="0" w:space="0" w:color="auto"/>
        <w:bottom w:val="none" w:sz="0" w:space="0" w:color="auto"/>
        <w:right w:val="none" w:sz="0" w:space="0" w:color="auto"/>
      </w:divBdr>
    </w:div>
    <w:div w:id="611784410">
      <w:bodyDiv w:val="1"/>
      <w:marLeft w:val="0"/>
      <w:marRight w:val="0"/>
      <w:marTop w:val="0"/>
      <w:marBottom w:val="0"/>
      <w:divBdr>
        <w:top w:val="none" w:sz="0" w:space="0" w:color="auto"/>
        <w:left w:val="none" w:sz="0" w:space="0" w:color="auto"/>
        <w:bottom w:val="none" w:sz="0" w:space="0" w:color="auto"/>
        <w:right w:val="none" w:sz="0" w:space="0" w:color="auto"/>
      </w:divBdr>
    </w:div>
    <w:div w:id="614022044">
      <w:bodyDiv w:val="1"/>
      <w:marLeft w:val="0"/>
      <w:marRight w:val="0"/>
      <w:marTop w:val="0"/>
      <w:marBottom w:val="0"/>
      <w:divBdr>
        <w:top w:val="none" w:sz="0" w:space="0" w:color="auto"/>
        <w:left w:val="none" w:sz="0" w:space="0" w:color="auto"/>
        <w:bottom w:val="none" w:sz="0" w:space="0" w:color="auto"/>
        <w:right w:val="none" w:sz="0" w:space="0" w:color="auto"/>
      </w:divBdr>
    </w:div>
    <w:div w:id="630019455">
      <w:bodyDiv w:val="1"/>
      <w:marLeft w:val="0"/>
      <w:marRight w:val="0"/>
      <w:marTop w:val="0"/>
      <w:marBottom w:val="0"/>
      <w:divBdr>
        <w:top w:val="none" w:sz="0" w:space="0" w:color="auto"/>
        <w:left w:val="none" w:sz="0" w:space="0" w:color="auto"/>
        <w:bottom w:val="none" w:sz="0" w:space="0" w:color="auto"/>
        <w:right w:val="none" w:sz="0" w:space="0" w:color="auto"/>
      </w:divBdr>
    </w:div>
    <w:div w:id="630549597">
      <w:bodyDiv w:val="1"/>
      <w:marLeft w:val="0"/>
      <w:marRight w:val="0"/>
      <w:marTop w:val="0"/>
      <w:marBottom w:val="0"/>
      <w:divBdr>
        <w:top w:val="none" w:sz="0" w:space="0" w:color="auto"/>
        <w:left w:val="none" w:sz="0" w:space="0" w:color="auto"/>
        <w:bottom w:val="none" w:sz="0" w:space="0" w:color="auto"/>
        <w:right w:val="none" w:sz="0" w:space="0" w:color="auto"/>
      </w:divBdr>
    </w:div>
    <w:div w:id="633488951">
      <w:bodyDiv w:val="1"/>
      <w:marLeft w:val="0"/>
      <w:marRight w:val="0"/>
      <w:marTop w:val="0"/>
      <w:marBottom w:val="0"/>
      <w:divBdr>
        <w:top w:val="none" w:sz="0" w:space="0" w:color="auto"/>
        <w:left w:val="none" w:sz="0" w:space="0" w:color="auto"/>
        <w:bottom w:val="none" w:sz="0" w:space="0" w:color="auto"/>
        <w:right w:val="none" w:sz="0" w:space="0" w:color="auto"/>
      </w:divBdr>
    </w:div>
    <w:div w:id="641158467">
      <w:bodyDiv w:val="1"/>
      <w:marLeft w:val="0"/>
      <w:marRight w:val="0"/>
      <w:marTop w:val="0"/>
      <w:marBottom w:val="0"/>
      <w:divBdr>
        <w:top w:val="none" w:sz="0" w:space="0" w:color="auto"/>
        <w:left w:val="none" w:sz="0" w:space="0" w:color="auto"/>
        <w:bottom w:val="none" w:sz="0" w:space="0" w:color="auto"/>
        <w:right w:val="none" w:sz="0" w:space="0" w:color="auto"/>
      </w:divBdr>
    </w:div>
    <w:div w:id="663362378">
      <w:bodyDiv w:val="1"/>
      <w:marLeft w:val="0"/>
      <w:marRight w:val="0"/>
      <w:marTop w:val="0"/>
      <w:marBottom w:val="0"/>
      <w:divBdr>
        <w:top w:val="none" w:sz="0" w:space="0" w:color="auto"/>
        <w:left w:val="none" w:sz="0" w:space="0" w:color="auto"/>
        <w:bottom w:val="none" w:sz="0" w:space="0" w:color="auto"/>
        <w:right w:val="none" w:sz="0" w:space="0" w:color="auto"/>
      </w:divBdr>
    </w:div>
    <w:div w:id="684088191">
      <w:bodyDiv w:val="1"/>
      <w:marLeft w:val="0"/>
      <w:marRight w:val="0"/>
      <w:marTop w:val="0"/>
      <w:marBottom w:val="0"/>
      <w:divBdr>
        <w:top w:val="none" w:sz="0" w:space="0" w:color="auto"/>
        <w:left w:val="none" w:sz="0" w:space="0" w:color="auto"/>
        <w:bottom w:val="none" w:sz="0" w:space="0" w:color="auto"/>
        <w:right w:val="none" w:sz="0" w:space="0" w:color="auto"/>
      </w:divBdr>
    </w:div>
    <w:div w:id="711923038">
      <w:bodyDiv w:val="1"/>
      <w:marLeft w:val="0"/>
      <w:marRight w:val="0"/>
      <w:marTop w:val="0"/>
      <w:marBottom w:val="0"/>
      <w:divBdr>
        <w:top w:val="none" w:sz="0" w:space="0" w:color="auto"/>
        <w:left w:val="none" w:sz="0" w:space="0" w:color="auto"/>
        <w:bottom w:val="none" w:sz="0" w:space="0" w:color="auto"/>
        <w:right w:val="none" w:sz="0" w:space="0" w:color="auto"/>
      </w:divBdr>
    </w:div>
    <w:div w:id="712121912">
      <w:bodyDiv w:val="1"/>
      <w:marLeft w:val="0"/>
      <w:marRight w:val="0"/>
      <w:marTop w:val="0"/>
      <w:marBottom w:val="0"/>
      <w:divBdr>
        <w:top w:val="none" w:sz="0" w:space="0" w:color="auto"/>
        <w:left w:val="none" w:sz="0" w:space="0" w:color="auto"/>
        <w:bottom w:val="none" w:sz="0" w:space="0" w:color="auto"/>
        <w:right w:val="none" w:sz="0" w:space="0" w:color="auto"/>
      </w:divBdr>
    </w:div>
    <w:div w:id="720327444">
      <w:bodyDiv w:val="1"/>
      <w:marLeft w:val="0"/>
      <w:marRight w:val="0"/>
      <w:marTop w:val="0"/>
      <w:marBottom w:val="0"/>
      <w:divBdr>
        <w:top w:val="none" w:sz="0" w:space="0" w:color="auto"/>
        <w:left w:val="none" w:sz="0" w:space="0" w:color="auto"/>
        <w:bottom w:val="none" w:sz="0" w:space="0" w:color="auto"/>
        <w:right w:val="none" w:sz="0" w:space="0" w:color="auto"/>
      </w:divBdr>
    </w:div>
    <w:div w:id="737938220">
      <w:bodyDiv w:val="1"/>
      <w:marLeft w:val="0"/>
      <w:marRight w:val="0"/>
      <w:marTop w:val="0"/>
      <w:marBottom w:val="0"/>
      <w:divBdr>
        <w:top w:val="none" w:sz="0" w:space="0" w:color="auto"/>
        <w:left w:val="none" w:sz="0" w:space="0" w:color="auto"/>
        <w:bottom w:val="none" w:sz="0" w:space="0" w:color="auto"/>
        <w:right w:val="none" w:sz="0" w:space="0" w:color="auto"/>
      </w:divBdr>
    </w:div>
    <w:div w:id="772172086">
      <w:bodyDiv w:val="1"/>
      <w:marLeft w:val="0"/>
      <w:marRight w:val="0"/>
      <w:marTop w:val="0"/>
      <w:marBottom w:val="0"/>
      <w:divBdr>
        <w:top w:val="none" w:sz="0" w:space="0" w:color="auto"/>
        <w:left w:val="none" w:sz="0" w:space="0" w:color="auto"/>
        <w:bottom w:val="none" w:sz="0" w:space="0" w:color="auto"/>
        <w:right w:val="none" w:sz="0" w:space="0" w:color="auto"/>
      </w:divBdr>
    </w:div>
    <w:div w:id="879048067">
      <w:bodyDiv w:val="1"/>
      <w:marLeft w:val="0"/>
      <w:marRight w:val="0"/>
      <w:marTop w:val="0"/>
      <w:marBottom w:val="0"/>
      <w:divBdr>
        <w:top w:val="none" w:sz="0" w:space="0" w:color="auto"/>
        <w:left w:val="none" w:sz="0" w:space="0" w:color="auto"/>
        <w:bottom w:val="none" w:sz="0" w:space="0" w:color="auto"/>
        <w:right w:val="none" w:sz="0" w:space="0" w:color="auto"/>
      </w:divBdr>
    </w:div>
    <w:div w:id="953173753">
      <w:bodyDiv w:val="1"/>
      <w:marLeft w:val="0"/>
      <w:marRight w:val="0"/>
      <w:marTop w:val="0"/>
      <w:marBottom w:val="0"/>
      <w:divBdr>
        <w:top w:val="none" w:sz="0" w:space="0" w:color="auto"/>
        <w:left w:val="none" w:sz="0" w:space="0" w:color="auto"/>
        <w:bottom w:val="none" w:sz="0" w:space="0" w:color="auto"/>
        <w:right w:val="none" w:sz="0" w:space="0" w:color="auto"/>
      </w:divBdr>
    </w:div>
    <w:div w:id="984357086">
      <w:bodyDiv w:val="1"/>
      <w:marLeft w:val="0"/>
      <w:marRight w:val="0"/>
      <w:marTop w:val="0"/>
      <w:marBottom w:val="0"/>
      <w:divBdr>
        <w:top w:val="none" w:sz="0" w:space="0" w:color="auto"/>
        <w:left w:val="none" w:sz="0" w:space="0" w:color="auto"/>
        <w:bottom w:val="none" w:sz="0" w:space="0" w:color="auto"/>
        <w:right w:val="none" w:sz="0" w:space="0" w:color="auto"/>
      </w:divBdr>
    </w:div>
    <w:div w:id="986590319">
      <w:bodyDiv w:val="1"/>
      <w:marLeft w:val="0"/>
      <w:marRight w:val="0"/>
      <w:marTop w:val="0"/>
      <w:marBottom w:val="0"/>
      <w:divBdr>
        <w:top w:val="none" w:sz="0" w:space="0" w:color="auto"/>
        <w:left w:val="none" w:sz="0" w:space="0" w:color="auto"/>
        <w:bottom w:val="none" w:sz="0" w:space="0" w:color="auto"/>
        <w:right w:val="none" w:sz="0" w:space="0" w:color="auto"/>
      </w:divBdr>
    </w:div>
    <w:div w:id="1000045304">
      <w:bodyDiv w:val="1"/>
      <w:marLeft w:val="0"/>
      <w:marRight w:val="0"/>
      <w:marTop w:val="0"/>
      <w:marBottom w:val="0"/>
      <w:divBdr>
        <w:top w:val="none" w:sz="0" w:space="0" w:color="auto"/>
        <w:left w:val="none" w:sz="0" w:space="0" w:color="auto"/>
        <w:bottom w:val="none" w:sz="0" w:space="0" w:color="auto"/>
        <w:right w:val="none" w:sz="0" w:space="0" w:color="auto"/>
      </w:divBdr>
    </w:div>
    <w:div w:id="1069497083">
      <w:bodyDiv w:val="1"/>
      <w:marLeft w:val="0"/>
      <w:marRight w:val="0"/>
      <w:marTop w:val="0"/>
      <w:marBottom w:val="0"/>
      <w:divBdr>
        <w:top w:val="none" w:sz="0" w:space="0" w:color="auto"/>
        <w:left w:val="none" w:sz="0" w:space="0" w:color="auto"/>
        <w:bottom w:val="none" w:sz="0" w:space="0" w:color="auto"/>
        <w:right w:val="none" w:sz="0" w:space="0" w:color="auto"/>
      </w:divBdr>
    </w:div>
    <w:div w:id="1069884387">
      <w:bodyDiv w:val="1"/>
      <w:marLeft w:val="0"/>
      <w:marRight w:val="0"/>
      <w:marTop w:val="0"/>
      <w:marBottom w:val="0"/>
      <w:divBdr>
        <w:top w:val="none" w:sz="0" w:space="0" w:color="auto"/>
        <w:left w:val="none" w:sz="0" w:space="0" w:color="auto"/>
        <w:bottom w:val="none" w:sz="0" w:space="0" w:color="auto"/>
        <w:right w:val="none" w:sz="0" w:space="0" w:color="auto"/>
      </w:divBdr>
    </w:div>
    <w:div w:id="1084374125">
      <w:bodyDiv w:val="1"/>
      <w:marLeft w:val="0"/>
      <w:marRight w:val="0"/>
      <w:marTop w:val="0"/>
      <w:marBottom w:val="0"/>
      <w:divBdr>
        <w:top w:val="none" w:sz="0" w:space="0" w:color="auto"/>
        <w:left w:val="none" w:sz="0" w:space="0" w:color="auto"/>
        <w:bottom w:val="none" w:sz="0" w:space="0" w:color="auto"/>
        <w:right w:val="none" w:sz="0" w:space="0" w:color="auto"/>
      </w:divBdr>
    </w:div>
    <w:div w:id="1154175302">
      <w:bodyDiv w:val="1"/>
      <w:marLeft w:val="0"/>
      <w:marRight w:val="0"/>
      <w:marTop w:val="0"/>
      <w:marBottom w:val="0"/>
      <w:divBdr>
        <w:top w:val="none" w:sz="0" w:space="0" w:color="auto"/>
        <w:left w:val="none" w:sz="0" w:space="0" w:color="auto"/>
        <w:bottom w:val="none" w:sz="0" w:space="0" w:color="auto"/>
        <w:right w:val="none" w:sz="0" w:space="0" w:color="auto"/>
      </w:divBdr>
    </w:div>
    <w:div w:id="1171943501">
      <w:bodyDiv w:val="1"/>
      <w:marLeft w:val="0"/>
      <w:marRight w:val="0"/>
      <w:marTop w:val="0"/>
      <w:marBottom w:val="0"/>
      <w:divBdr>
        <w:top w:val="none" w:sz="0" w:space="0" w:color="auto"/>
        <w:left w:val="none" w:sz="0" w:space="0" w:color="auto"/>
        <w:bottom w:val="none" w:sz="0" w:space="0" w:color="auto"/>
        <w:right w:val="none" w:sz="0" w:space="0" w:color="auto"/>
      </w:divBdr>
    </w:div>
    <w:div w:id="1171994160">
      <w:bodyDiv w:val="1"/>
      <w:marLeft w:val="0"/>
      <w:marRight w:val="0"/>
      <w:marTop w:val="0"/>
      <w:marBottom w:val="0"/>
      <w:divBdr>
        <w:top w:val="none" w:sz="0" w:space="0" w:color="auto"/>
        <w:left w:val="none" w:sz="0" w:space="0" w:color="auto"/>
        <w:bottom w:val="none" w:sz="0" w:space="0" w:color="auto"/>
        <w:right w:val="none" w:sz="0" w:space="0" w:color="auto"/>
      </w:divBdr>
    </w:div>
    <w:div w:id="1221793639">
      <w:bodyDiv w:val="1"/>
      <w:marLeft w:val="0"/>
      <w:marRight w:val="0"/>
      <w:marTop w:val="0"/>
      <w:marBottom w:val="0"/>
      <w:divBdr>
        <w:top w:val="none" w:sz="0" w:space="0" w:color="auto"/>
        <w:left w:val="none" w:sz="0" w:space="0" w:color="auto"/>
        <w:bottom w:val="none" w:sz="0" w:space="0" w:color="auto"/>
        <w:right w:val="none" w:sz="0" w:space="0" w:color="auto"/>
      </w:divBdr>
    </w:div>
    <w:div w:id="1226450674">
      <w:bodyDiv w:val="1"/>
      <w:marLeft w:val="0"/>
      <w:marRight w:val="0"/>
      <w:marTop w:val="0"/>
      <w:marBottom w:val="0"/>
      <w:divBdr>
        <w:top w:val="none" w:sz="0" w:space="0" w:color="auto"/>
        <w:left w:val="none" w:sz="0" w:space="0" w:color="auto"/>
        <w:bottom w:val="none" w:sz="0" w:space="0" w:color="auto"/>
        <w:right w:val="none" w:sz="0" w:space="0" w:color="auto"/>
      </w:divBdr>
    </w:div>
    <w:div w:id="1279994677">
      <w:bodyDiv w:val="1"/>
      <w:marLeft w:val="0"/>
      <w:marRight w:val="0"/>
      <w:marTop w:val="0"/>
      <w:marBottom w:val="0"/>
      <w:divBdr>
        <w:top w:val="none" w:sz="0" w:space="0" w:color="auto"/>
        <w:left w:val="none" w:sz="0" w:space="0" w:color="auto"/>
        <w:bottom w:val="none" w:sz="0" w:space="0" w:color="auto"/>
        <w:right w:val="none" w:sz="0" w:space="0" w:color="auto"/>
      </w:divBdr>
    </w:div>
    <w:div w:id="1343899786">
      <w:bodyDiv w:val="1"/>
      <w:marLeft w:val="0"/>
      <w:marRight w:val="0"/>
      <w:marTop w:val="0"/>
      <w:marBottom w:val="0"/>
      <w:divBdr>
        <w:top w:val="none" w:sz="0" w:space="0" w:color="auto"/>
        <w:left w:val="none" w:sz="0" w:space="0" w:color="auto"/>
        <w:bottom w:val="none" w:sz="0" w:space="0" w:color="auto"/>
        <w:right w:val="none" w:sz="0" w:space="0" w:color="auto"/>
      </w:divBdr>
    </w:div>
    <w:div w:id="1417365234">
      <w:bodyDiv w:val="1"/>
      <w:marLeft w:val="0"/>
      <w:marRight w:val="0"/>
      <w:marTop w:val="0"/>
      <w:marBottom w:val="0"/>
      <w:divBdr>
        <w:top w:val="none" w:sz="0" w:space="0" w:color="auto"/>
        <w:left w:val="none" w:sz="0" w:space="0" w:color="auto"/>
        <w:bottom w:val="none" w:sz="0" w:space="0" w:color="auto"/>
        <w:right w:val="none" w:sz="0" w:space="0" w:color="auto"/>
      </w:divBdr>
    </w:div>
    <w:div w:id="1490902208">
      <w:bodyDiv w:val="1"/>
      <w:marLeft w:val="0"/>
      <w:marRight w:val="0"/>
      <w:marTop w:val="0"/>
      <w:marBottom w:val="0"/>
      <w:divBdr>
        <w:top w:val="none" w:sz="0" w:space="0" w:color="auto"/>
        <w:left w:val="none" w:sz="0" w:space="0" w:color="auto"/>
        <w:bottom w:val="none" w:sz="0" w:space="0" w:color="auto"/>
        <w:right w:val="none" w:sz="0" w:space="0" w:color="auto"/>
      </w:divBdr>
    </w:div>
    <w:div w:id="1492064123">
      <w:bodyDiv w:val="1"/>
      <w:marLeft w:val="0"/>
      <w:marRight w:val="0"/>
      <w:marTop w:val="0"/>
      <w:marBottom w:val="0"/>
      <w:divBdr>
        <w:top w:val="none" w:sz="0" w:space="0" w:color="auto"/>
        <w:left w:val="none" w:sz="0" w:space="0" w:color="auto"/>
        <w:bottom w:val="none" w:sz="0" w:space="0" w:color="auto"/>
        <w:right w:val="none" w:sz="0" w:space="0" w:color="auto"/>
      </w:divBdr>
    </w:div>
    <w:div w:id="1516336221">
      <w:bodyDiv w:val="1"/>
      <w:marLeft w:val="0"/>
      <w:marRight w:val="0"/>
      <w:marTop w:val="0"/>
      <w:marBottom w:val="0"/>
      <w:divBdr>
        <w:top w:val="none" w:sz="0" w:space="0" w:color="auto"/>
        <w:left w:val="none" w:sz="0" w:space="0" w:color="auto"/>
        <w:bottom w:val="none" w:sz="0" w:space="0" w:color="auto"/>
        <w:right w:val="none" w:sz="0" w:space="0" w:color="auto"/>
      </w:divBdr>
    </w:div>
    <w:div w:id="1524399553">
      <w:bodyDiv w:val="1"/>
      <w:marLeft w:val="0"/>
      <w:marRight w:val="0"/>
      <w:marTop w:val="0"/>
      <w:marBottom w:val="0"/>
      <w:divBdr>
        <w:top w:val="none" w:sz="0" w:space="0" w:color="auto"/>
        <w:left w:val="none" w:sz="0" w:space="0" w:color="auto"/>
        <w:bottom w:val="none" w:sz="0" w:space="0" w:color="auto"/>
        <w:right w:val="none" w:sz="0" w:space="0" w:color="auto"/>
      </w:divBdr>
    </w:div>
    <w:div w:id="1633556899">
      <w:bodyDiv w:val="1"/>
      <w:marLeft w:val="0"/>
      <w:marRight w:val="0"/>
      <w:marTop w:val="0"/>
      <w:marBottom w:val="0"/>
      <w:divBdr>
        <w:top w:val="none" w:sz="0" w:space="0" w:color="auto"/>
        <w:left w:val="none" w:sz="0" w:space="0" w:color="auto"/>
        <w:bottom w:val="none" w:sz="0" w:space="0" w:color="auto"/>
        <w:right w:val="none" w:sz="0" w:space="0" w:color="auto"/>
      </w:divBdr>
    </w:div>
    <w:div w:id="1638299740">
      <w:bodyDiv w:val="1"/>
      <w:marLeft w:val="0"/>
      <w:marRight w:val="0"/>
      <w:marTop w:val="0"/>
      <w:marBottom w:val="0"/>
      <w:divBdr>
        <w:top w:val="none" w:sz="0" w:space="0" w:color="auto"/>
        <w:left w:val="none" w:sz="0" w:space="0" w:color="auto"/>
        <w:bottom w:val="none" w:sz="0" w:space="0" w:color="auto"/>
        <w:right w:val="none" w:sz="0" w:space="0" w:color="auto"/>
      </w:divBdr>
    </w:div>
    <w:div w:id="1707486709">
      <w:bodyDiv w:val="1"/>
      <w:marLeft w:val="0"/>
      <w:marRight w:val="0"/>
      <w:marTop w:val="0"/>
      <w:marBottom w:val="0"/>
      <w:divBdr>
        <w:top w:val="none" w:sz="0" w:space="0" w:color="auto"/>
        <w:left w:val="none" w:sz="0" w:space="0" w:color="auto"/>
        <w:bottom w:val="none" w:sz="0" w:space="0" w:color="auto"/>
        <w:right w:val="none" w:sz="0" w:space="0" w:color="auto"/>
      </w:divBdr>
    </w:div>
    <w:div w:id="1753233777">
      <w:bodyDiv w:val="1"/>
      <w:marLeft w:val="0"/>
      <w:marRight w:val="0"/>
      <w:marTop w:val="0"/>
      <w:marBottom w:val="0"/>
      <w:divBdr>
        <w:top w:val="none" w:sz="0" w:space="0" w:color="auto"/>
        <w:left w:val="none" w:sz="0" w:space="0" w:color="auto"/>
        <w:bottom w:val="none" w:sz="0" w:space="0" w:color="auto"/>
        <w:right w:val="none" w:sz="0" w:space="0" w:color="auto"/>
      </w:divBdr>
    </w:div>
    <w:div w:id="1770545310">
      <w:bodyDiv w:val="1"/>
      <w:marLeft w:val="0"/>
      <w:marRight w:val="0"/>
      <w:marTop w:val="0"/>
      <w:marBottom w:val="0"/>
      <w:divBdr>
        <w:top w:val="none" w:sz="0" w:space="0" w:color="auto"/>
        <w:left w:val="none" w:sz="0" w:space="0" w:color="auto"/>
        <w:bottom w:val="none" w:sz="0" w:space="0" w:color="auto"/>
        <w:right w:val="none" w:sz="0" w:space="0" w:color="auto"/>
      </w:divBdr>
    </w:div>
    <w:div w:id="1786999562">
      <w:bodyDiv w:val="1"/>
      <w:marLeft w:val="0"/>
      <w:marRight w:val="0"/>
      <w:marTop w:val="0"/>
      <w:marBottom w:val="0"/>
      <w:divBdr>
        <w:top w:val="none" w:sz="0" w:space="0" w:color="auto"/>
        <w:left w:val="none" w:sz="0" w:space="0" w:color="auto"/>
        <w:bottom w:val="none" w:sz="0" w:space="0" w:color="auto"/>
        <w:right w:val="none" w:sz="0" w:space="0" w:color="auto"/>
      </w:divBdr>
    </w:div>
    <w:div w:id="1800999546">
      <w:bodyDiv w:val="1"/>
      <w:marLeft w:val="0"/>
      <w:marRight w:val="0"/>
      <w:marTop w:val="0"/>
      <w:marBottom w:val="0"/>
      <w:divBdr>
        <w:top w:val="none" w:sz="0" w:space="0" w:color="auto"/>
        <w:left w:val="none" w:sz="0" w:space="0" w:color="auto"/>
        <w:bottom w:val="none" w:sz="0" w:space="0" w:color="auto"/>
        <w:right w:val="none" w:sz="0" w:space="0" w:color="auto"/>
      </w:divBdr>
    </w:div>
    <w:div w:id="1801337373">
      <w:bodyDiv w:val="1"/>
      <w:marLeft w:val="0"/>
      <w:marRight w:val="0"/>
      <w:marTop w:val="0"/>
      <w:marBottom w:val="0"/>
      <w:divBdr>
        <w:top w:val="none" w:sz="0" w:space="0" w:color="auto"/>
        <w:left w:val="none" w:sz="0" w:space="0" w:color="auto"/>
        <w:bottom w:val="none" w:sz="0" w:space="0" w:color="auto"/>
        <w:right w:val="none" w:sz="0" w:space="0" w:color="auto"/>
      </w:divBdr>
    </w:div>
    <w:div w:id="1835796056">
      <w:bodyDiv w:val="1"/>
      <w:marLeft w:val="0"/>
      <w:marRight w:val="0"/>
      <w:marTop w:val="0"/>
      <w:marBottom w:val="0"/>
      <w:divBdr>
        <w:top w:val="none" w:sz="0" w:space="0" w:color="auto"/>
        <w:left w:val="none" w:sz="0" w:space="0" w:color="auto"/>
        <w:bottom w:val="none" w:sz="0" w:space="0" w:color="auto"/>
        <w:right w:val="none" w:sz="0" w:space="0" w:color="auto"/>
      </w:divBdr>
    </w:div>
    <w:div w:id="1873766767">
      <w:bodyDiv w:val="1"/>
      <w:marLeft w:val="0"/>
      <w:marRight w:val="0"/>
      <w:marTop w:val="0"/>
      <w:marBottom w:val="0"/>
      <w:divBdr>
        <w:top w:val="none" w:sz="0" w:space="0" w:color="auto"/>
        <w:left w:val="none" w:sz="0" w:space="0" w:color="auto"/>
        <w:bottom w:val="none" w:sz="0" w:space="0" w:color="auto"/>
        <w:right w:val="none" w:sz="0" w:space="0" w:color="auto"/>
      </w:divBdr>
    </w:div>
    <w:div w:id="1898006831">
      <w:bodyDiv w:val="1"/>
      <w:marLeft w:val="0"/>
      <w:marRight w:val="0"/>
      <w:marTop w:val="0"/>
      <w:marBottom w:val="0"/>
      <w:divBdr>
        <w:top w:val="none" w:sz="0" w:space="0" w:color="auto"/>
        <w:left w:val="none" w:sz="0" w:space="0" w:color="auto"/>
        <w:bottom w:val="none" w:sz="0" w:space="0" w:color="auto"/>
        <w:right w:val="none" w:sz="0" w:space="0" w:color="auto"/>
      </w:divBdr>
    </w:div>
    <w:div w:id="1905292457">
      <w:bodyDiv w:val="1"/>
      <w:marLeft w:val="0"/>
      <w:marRight w:val="0"/>
      <w:marTop w:val="0"/>
      <w:marBottom w:val="0"/>
      <w:divBdr>
        <w:top w:val="none" w:sz="0" w:space="0" w:color="auto"/>
        <w:left w:val="none" w:sz="0" w:space="0" w:color="auto"/>
        <w:bottom w:val="none" w:sz="0" w:space="0" w:color="auto"/>
        <w:right w:val="none" w:sz="0" w:space="0" w:color="auto"/>
      </w:divBdr>
    </w:div>
    <w:div w:id="1945961496">
      <w:bodyDiv w:val="1"/>
      <w:marLeft w:val="0"/>
      <w:marRight w:val="0"/>
      <w:marTop w:val="0"/>
      <w:marBottom w:val="0"/>
      <w:divBdr>
        <w:top w:val="none" w:sz="0" w:space="0" w:color="auto"/>
        <w:left w:val="none" w:sz="0" w:space="0" w:color="auto"/>
        <w:bottom w:val="none" w:sz="0" w:space="0" w:color="auto"/>
        <w:right w:val="none" w:sz="0" w:space="0" w:color="auto"/>
      </w:divBdr>
    </w:div>
    <w:div w:id="1988701095">
      <w:bodyDiv w:val="1"/>
      <w:marLeft w:val="0"/>
      <w:marRight w:val="0"/>
      <w:marTop w:val="0"/>
      <w:marBottom w:val="0"/>
      <w:divBdr>
        <w:top w:val="none" w:sz="0" w:space="0" w:color="auto"/>
        <w:left w:val="none" w:sz="0" w:space="0" w:color="auto"/>
        <w:bottom w:val="none" w:sz="0" w:space="0" w:color="auto"/>
        <w:right w:val="none" w:sz="0" w:space="0" w:color="auto"/>
      </w:divBdr>
    </w:div>
    <w:div w:id="2014062603">
      <w:bodyDiv w:val="1"/>
      <w:marLeft w:val="0"/>
      <w:marRight w:val="0"/>
      <w:marTop w:val="0"/>
      <w:marBottom w:val="0"/>
      <w:divBdr>
        <w:top w:val="none" w:sz="0" w:space="0" w:color="auto"/>
        <w:left w:val="none" w:sz="0" w:space="0" w:color="auto"/>
        <w:bottom w:val="none" w:sz="0" w:space="0" w:color="auto"/>
        <w:right w:val="none" w:sz="0" w:space="0" w:color="auto"/>
      </w:divBdr>
    </w:div>
    <w:div w:id="2026861323">
      <w:bodyDiv w:val="1"/>
      <w:marLeft w:val="0"/>
      <w:marRight w:val="0"/>
      <w:marTop w:val="0"/>
      <w:marBottom w:val="0"/>
      <w:divBdr>
        <w:top w:val="none" w:sz="0" w:space="0" w:color="auto"/>
        <w:left w:val="none" w:sz="0" w:space="0" w:color="auto"/>
        <w:bottom w:val="none" w:sz="0" w:space="0" w:color="auto"/>
        <w:right w:val="none" w:sz="0" w:space="0" w:color="auto"/>
      </w:divBdr>
    </w:div>
    <w:div w:id="2041541517">
      <w:bodyDiv w:val="1"/>
      <w:marLeft w:val="0"/>
      <w:marRight w:val="0"/>
      <w:marTop w:val="0"/>
      <w:marBottom w:val="0"/>
      <w:divBdr>
        <w:top w:val="none" w:sz="0" w:space="0" w:color="auto"/>
        <w:left w:val="none" w:sz="0" w:space="0" w:color="auto"/>
        <w:bottom w:val="none" w:sz="0" w:space="0" w:color="auto"/>
        <w:right w:val="none" w:sz="0" w:space="0" w:color="auto"/>
      </w:divBdr>
    </w:div>
    <w:div w:id="2070684750">
      <w:bodyDiv w:val="1"/>
      <w:marLeft w:val="0"/>
      <w:marRight w:val="0"/>
      <w:marTop w:val="0"/>
      <w:marBottom w:val="0"/>
      <w:divBdr>
        <w:top w:val="none" w:sz="0" w:space="0" w:color="auto"/>
        <w:left w:val="none" w:sz="0" w:space="0" w:color="auto"/>
        <w:bottom w:val="none" w:sz="0" w:space="0" w:color="auto"/>
        <w:right w:val="none" w:sz="0" w:space="0" w:color="auto"/>
      </w:divBdr>
    </w:div>
    <w:div w:id="207103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emf"/><Relationship Id="rId18" Type="http://schemas.openxmlformats.org/officeDocument/2006/relationships/image" Target="media/image10.gi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3.gif"/><Relationship Id="rId7" Type="http://schemas.openxmlformats.org/officeDocument/2006/relationships/chart" Target="charts/chart1.xml"/><Relationship Id="rId12" Type="http://schemas.openxmlformats.org/officeDocument/2006/relationships/image" Target="media/image5.emf"/><Relationship Id="rId17" Type="http://schemas.openxmlformats.org/officeDocument/2006/relationships/image" Target="media/image9.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gif"/><Relationship Id="rId28" Type="http://schemas.openxmlformats.org/officeDocument/2006/relationships/theme" Target="theme/theme1.xml"/><Relationship Id="rId10" Type="http://schemas.openxmlformats.org/officeDocument/2006/relationships/oleObject" Target="embeddings/Microsoft_Office_Excel_97-2003-Arbeitsblatt1.xls"/><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Microsoft_Office_Excel_97-2003-Arbeitsblatt2.xls"/><Relationship Id="rId22" Type="http://schemas.openxmlformats.org/officeDocument/2006/relationships/image" Target="media/image14.gi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lhs.stuttgart.de\dfsroot\AMT66\66\66-K\Endrich\SES_Abschluss\Jahresabschluss2012\Lagebericht\Digramme%20zum%20Lagebericht.xlsx" TargetMode="External"/><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title>
      <c:tx>
        <c:rich>
          <a:bodyPr/>
          <a:lstStyle/>
          <a:p>
            <a:pPr>
              <a:defRPr sz="1200" b="1" i="0" u="none" strike="noStrike" baseline="0">
                <a:solidFill>
                  <a:srgbClr val="000000"/>
                </a:solidFill>
                <a:latin typeface="Arial"/>
                <a:ea typeface="Arial"/>
                <a:cs typeface="Arial"/>
              </a:defRPr>
            </a:pPr>
            <a:r>
              <a:rPr lang="de-DE"/>
              <a:t>Entwicklung der Jahresergebnisse 2008 bis 2012</a:t>
            </a:r>
          </a:p>
        </c:rich>
      </c:tx>
      <c:layout>
        <c:manualLayout>
          <c:xMode val="edge"/>
          <c:yMode val="edge"/>
          <c:x val="0.27448275862068988"/>
          <c:y val="5.1918735891648131E-2"/>
        </c:manualLayout>
      </c:layout>
      <c:spPr>
        <a:noFill/>
        <a:ln w="25400">
          <a:noFill/>
        </a:ln>
      </c:spPr>
    </c:title>
    <c:plotArea>
      <c:layout>
        <c:manualLayout>
          <c:layoutTarget val="inner"/>
          <c:xMode val="edge"/>
          <c:yMode val="edge"/>
          <c:x val="0.13655172413793104"/>
          <c:y val="0.1060948081264113"/>
          <c:w val="0.84413793103448365"/>
          <c:h val="0.75846501128668264"/>
        </c:manualLayout>
      </c:layout>
      <c:areaChart>
        <c:grouping val="stacked"/>
        <c:ser>
          <c:idx val="7"/>
          <c:order val="6"/>
          <c:tx>
            <c:strRef>
              <c:f>'Erträge Aufwendungen'!$B$16</c:f>
              <c:strCache>
                <c:ptCount val="1"/>
                <c:pt idx="0">
                  <c:v>Erträge vor Zuführungen</c:v>
                </c:pt>
              </c:strCache>
            </c:strRef>
          </c:tx>
          <c:spPr>
            <a:blipFill dpi="0" rotWithShape="0">
              <a:blip xmlns:r="http://schemas.openxmlformats.org/officeDocument/2006/relationships" r:embed="rId1"/>
              <a:srcRect/>
              <a:tile tx="0" ty="0" sx="100000" sy="100000" flip="none" algn="tl"/>
            </a:blipFill>
            <a:ln w="25400">
              <a:noFill/>
            </a:ln>
          </c:spPr>
          <c:dLbls>
            <c:delete val="1"/>
          </c:dLbls>
          <c:cat>
            <c:numRef>
              <c:f>'Erträge Aufwendungen'!$C$7:$O$7</c:f>
              <c:numCache>
                <c:formatCode>General</c:formatCode>
                <c:ptCount val="5"/>
                <c:pt idx="0">
                  <c:v>2008</c:v>
                </c:pt>
                <c:pt idx="1">
                  <c:v>2009</c:v>
                </c:pt>
                <c:pt idx="2">
                  <c:v>2010</c:v>
                </c:pt>
                <c:pt idx="3">
                  <c:v>2011</c:v>
                </c:pt>
                <c:pt idx="4">
                  <c:v>2012</c:v>
                </c:pt>
              </c:numCache>
            </c:numRef>
          </c:cat>
          <c:val>
            <c:numRef>
              <c:f>'Erträge Aufwendungen'!$C$16:$O$16</c:f>
              <c:numCache>
                <c:formatCode>0.00</c:formatCode>
                <c:ptCount val="5"/>
                <c:pt idx="0">
                  <c:v>104.11499999999999</c:v>
                </c:pt>
                <c:pt idx="1">
                  <c:v>103.8</c:v>
                </c:pt>
                <c:pt idx="2">
                  <c:v>106.617</c:v>
                </c:pt>
                <c:pt idx="3">
                  <c:v>112.44400000000029</c:v>
                </c:pt>
                <c:pt idx="4">
                  <c:v>113.54600000000002</c:v>
                </c:pt>
              </c:numCache>
            </c:numRef>
          </c:val>
        </c:ser>
        <c:dLbls>
          <c:showVal val="1"/>
        </c:dLbls>
        <c:axId val="10135424"/>
        <c:axId val="10136960"/>
      </c:areaChart>
      <c:barChart>
        <c:barDir val="col"/>
        <c:grouping val="stacked"/>
        <c:ser>
          <c:idx val="0"/>
          <c:order val="0"/>
          <c:tx>
            <c:strRef>
              <c:f>'Erträge Aufwendungen'!$B$8</c:f>
              <c:strCache>
                <c:ptCount val="1"/>
                <c:pt idx="0">
                  <c:v>Abschreibungen</c:v>
                </c:pt>
              </c:strCache>
            </c:strRef>
          </c:tx>
          <c:spPr>
            <a:gradFill rotWithShape="0">
              <a:gsLst>
                <a:gs pos="0">
                  <a:srgbClr val="99CCFF"/>
                </a:gs>
                <a:gs pos="100000">
                  <a:srgbClr val="99CCFF">
                    <a:gamma/>
                    <a:tint val="25098"/>
                    <a:invGamma/>
                  </a:srgbClr>
                </a:gs>
              </a:gsLst>
              <a:lin ang="5400000" scaled="1"/>
            </a:gradFill>
            <a:ln w="12700">
              <a:solidFill>
                <a:srgbClr val="000000"/>
              </a:solidFill>
              <a:prstDash val="solid"/>
            </a:ln>
          </c:spPr>
          <c:dPt>
            <c:idx val="4"/>
            <c:spPr>
              <a:solidFill>
                <a:srgbClr val="99CCFF"/>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a:ea typeface="Arial"/>
                    <a:cs typeface="Arial"/>
                  </a:defRPr>
                </a:pPr>
                <a:endParaRPr lang="de-DE"/>
              </a:p>
            </c:txPr>
            <c:showVal val="1"/>
          </c:dLbls>
          <c:cat>
            <c:numRef>
              <c:f>'Erträge Aufwendungen'!$C$7:$O$7</c:f>
              <c:numCache>
                <c:formatCode>General</c:formatCode>
                <c:ptCount val="5"/>
                <c:pt idx="0">
                  <c:v>2008</c:v>
                </c:pt>
                <c:pt idx="1">
                  <c:v>2009</c:v>
                </c:pt>
                <c:pt idx="2">
                  <c:v>2010</c:v>
                </c:pt>
                <c:pt idx="3">
                  <c:v>2011</c:v>
                </c:pt>
                <c:pt idx="4">
                  <c:v>2012</c:v>
                </c:pt>
              </c:numCache>
            </c:numRef>
          </c:cat>
          <c:val>
            <c:numRef>
              <c:f>'Erträge Aufwendungen'!$C$8:$O$8</c:f>
              <c:numCache>
                <c:formatCode>0.00</c:formatCode>
                <c:ptCount val="5"/>
                <c:pt idx="0">
                  <c:v>34.6</c:v>
                </c:pt>
                <c:pt idx="1">
                  <c:v>33.120000000000012</c:v>
                </c:pt>
                <c:pt idx="2">
                  <c:v>34.529000000000003</c:v>
                </c:pt>
                <c:pt idx="3">
                  <c:v>34.638000000000012</c:v>
                </c:pt>
                <c:pt idx="4">
                  <c:v>34.971000000000004</c:v>
                </c:pt>
              </c:numCache>
            </c:numRef>
          </c:val>
        </c:ser>
        <c:ser>
          <c:idx val="1"/>
          <c:order val="1"/>
          <c:tx>
            <c:strRef>
              <c:f>'Erträge Aufwendungen'!$B$9</c:f>
              <c:strCache>
                <c:ptCount val="1"/>
                <c:pt idx="0">
                  <c:v>Zinsergebnis</c:v>
                </c:pt>
              </c:strCache>
            </c:strRef>
          </c:tx>
          <c:spPr>
            <a:gradFill rotWithShape="0">
              <a:gsLst>
                <a:gs pos="0">
                  <a:srgbClr val="9999FF"/>
                </a:gs>
                <a:gs pos="100000">
                  <a:srgbClr val="9999FF">
                    <a:gamma/>
                    <a:tint val="0"/>
                    <a:invGamma/>
                  </a:srgbClr>
                </a:gs>
              </a:gsLst>
              <a:lin ang="5400000" scaled="1"/>
            </a:gradFill>
            <a:ln w="12700">
              <a:solidFill>
                <a:srgbClr val="000000"/>
              </a:solidFill>
              <a:prstDash val="solid"/>
            </a:ln>
          </c:spPr>
          <c:dPt>
            <c:idx val="4"/>
            <c:spPr>
              <a:solidFill>
                <a:srgbClr val="9999FF"/>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a:ea typeface="Arial"/>
                    <a:cs typeface="Arial"/>
                  </a:defRPr>
                </a:pPr>
                <a:endParaRPr lang="de-DE"/>
              </a:p>
            </c:txPr>
            <c:showVal val="1"/>
          </c:dLbls>
          <c:cat>
            <c:numRef>
              <c:f>'Erträge Aufwendungen'!$C$7:$O$7</c:f>
              <c:numCache>
                <c:formatCode>General</c:formatCode>
                <c:ptCount val="5"/>
                <c:pt idx="0">
                  <c:v>2008</c:v>
                </c:pt>
                <c:pt idx="1">
                  <c:v>2009</c:v>
                </c:pt>
                <c:pt idx="2">
                  <c:v>2010</c:v>
                </c:pt>
                <c:pt idx="3">
                  <c:v>2011</c:v>
                </c:pt>
                <c:pt idx="4">
                  <c:v>2012</c:v>
                </c:pt>
              </c:numCache>
            </c:numRef>
          </c:cat>
          <c:val>
            <c:numRef>
              <c:f>'Erträge Aufwendungen'!$C$9:$O$9</c:f>
              <c:numCache>
                <c:formatCode>0.00</c:formatCode>
                <c:ptCount val="5"/>
                <c:pt idx="0">
                  <c:v>20.56</c:v>
                </c:pt>
                <c:pt idx="1">
                  <c:v>20.77</c:v>
                </c:pt>
                <c:pt idx="2">
                  <c:v>20.5</c:v>
                </c:pt>
                <c:pt idx="3">
                  <c:v>21.07</c:v>
                </c:pt>
                <c:pt idx="4">
                  <c:v>21.251000000000001</c:v>
                </c:pt>
              </c:numCache>
            </c:numRef>
          </c:val>
        </c:ser>
        <c:ser>
          <c:idx val="2"/>
          <c:order val="2"/>
          <c:tx>
            <c:strRef>
              <c:f>'Erträge Aufwendungen'!$B$10</c:f>
              <c:strCache>
                <c:ptCount val="1"/>
                <c:pt idx="0">
                  <c:v>Personalaufwand</c:v>
                </c:pt>
              </c:strCache>
            </c:strRef>
          </c:tx>
          <c:spPr>
            <a:gradFill rotWithShape="0">
              <a:gsLst>
                <a:gs pos="0">
                  <a:srgbClr val="FF6600"/>
                </a:gs>
                <a:gs pos="100000">
                  <a:srgbClr val="FF6600">
                    <a:gamma/>
                    <a:tint val="0"/>
                    <a:invGamma/>
                  </a:srgbClr>
                </a:gs>
              </a:gsLst>
              <a:lin ang="5400000" scaled="1"/>
            </a:gradFill>
            <a:ln w="12700">
              <a:solidFill>
                <a:srgbClr val="000000"/>
              </a:solidFill>
              <a:prstDash val="solid"/>
            </a:ln>
          </c:spPr>
          <c:dPt>
            <c:idx val="4"/>
            <c:spPr>
              <a:solidFill>
                <a:srgbClr val="FF6600"/>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a:ea typeface="Arial"/>
                    <a:cs typeface="Arial"/>
                  </a:defRPr>
                </a:pPr>
                <a:endParaRPr lang="de-DE"/>
              </a:p>
            </c:txPr>
            <c:showVal val="1"/>
          </c:dLbls>
          <c:cat>
            <c:numRef>
              <c:f>'Erträge Aufwendungen'!$C$7:$O$7</c:f>
              <c:numCache>
                <c:formatCode>General</c:formatCode>
                <c:ptCount val="5"/>
                <c:pt idx="0">
                  <c:v>2008</c:v>
                </c:pt>
                <c:pt idx="1">
                  <c:v>2009</c:v>
                </c:pt>
                <c:pt idx="2">
                  <c:v>2010</c:v>
                </c:pt>
                <c:pt idx="3">
                  <c:v>2011</c:v>
                </c:pt>
                <c:pt idx="4">
                  <c:v>2012</c:v>
                </c:pt>
              </c:numCache>
            </c:numRef>
          </c:cat>
          <c:val>
            <c:numRef>
              <c:f>'Erträge Aufwendungen'!$C$10:$O$10</c:f>
              <c:numCache>
                <c:formatCode>0.00</c:formatCode>
                <c:ptCount val="5"/>
                <c:pt idx="0">
                  <c:v>17.405999999999921</c:v>
                </c:pt>
                <c:pt idx="1">
                  <c:v>18</c:v>
                </c:pt>
                <c:pt idx="2">
                  <c:v>17.673999999999999</c:v>
                </c:pt>
                <c:pt idx="3">
                  <c:v>18.158000000000001</c:v>
                </c:pt>
                <c:pt idx="4">
                  <c:v>19.327000000000005</c:v>
                </c:pt>
              </c:numCache>
            </c:numRef>
          </c:val>
        </c:ser>
        <c:ser>
          <c:idx val="4"/>
          <c:order val="3"/>
          <c:tx>
            <c:strRef>
              <c:f>'Erträge Aufwendungen'!$B$12</c:f>
              <c:strCache>
                <c:ptCount val="1"/>
                <c:pt idx="0">
                  <c:v>So. betr. Aufwendungen</c:v>
                </c:pt>
              </c:strCache>
            </c:strRef>
          </c:tx>
          <c:spPr>
            <a:gradFill rotWithShape="0">
              <a:gsLst>
                <a:gs pos="0">
                  <a:srgbClr val="FFCC99"/>
                </a:gs>
                <a:gs pos="100000">
                  <a:srgbClr val="FFCC99">
                    <a:gamma/>
                    <a:tint val="0"/>
                    <a:invGamma/>
                  </a:srgbClr>
                </a:gs>
              </a:gsLst>
              <a:lin ang="5400000" scaled="1"/>
            </a:gradFill>
            <a:ln w="12700">
              <a:solidFill>
                <a:srgbClr val="000000"/>
              </a:solidFill>
              <a:prstDash val="solid"/>
            </a:ln>
          </c:spPr>
          <c:dPt>
            <c:idx val="4"/>
            <c:spPr>
              <a:solidFill>
                <a:srgbClr val="FFCC99"/>
              </a:solidFill>
              <a:ln w="12700">
                <a:solidFill>
                  <a:srgbClr val="000000"/>
                </a:solidFill>
                <a:prstDash val="solid"/>
              </a:ln>
            </c:spPr>
          </c:dPt>
          <c:dLbls>
            <c:dLbl>
              <c:idx val="4"/>
              <c:layout>
                <c:manualLayout>
                  <c:x val="2.5884695447552005E-3"/>
                  <c:y val="-4.8452747018361561E-3"/>
                </c:manualLayout>
              </c:layout>
              <c:dLblPos val="ctr"/>
              <c:showVal val="1"/>
            </c:dLbl>
            <c:spPr>
              <a:noFill/>
              <a:ln w="25400">
                <a:noFill/>
              </a:ln>
            </c:spPr>
            <c:txPr>
              <a:bodyPr/>
              <a:lstStyle/>
              <a:p>
                <a:pPr>
                  <a:defRPr sz="900" b="0" i="0" u="none" strike="noStrike" baseline="0">
                    <a:solidFill>
                      <a:srgbClr val="000000"/>
                    </a:solidFill>
                    <a:latin typeface="Arial"/>
                    <a:ea typeface="Arial"/>
                    <a:cs typeface="Arial"/>
                  </a:defRPr>
                </a:pPr>
                <a:endParaRPr lang="de-DE"/>
              </a:p>
            </c:txPr>
            <c:showVal val="1"/>
          </c:dLbls>
          <c:cat>
            <c:numRef>
              <c:f>'Erträge Aufwendungen'!$C$7:$O$7</c:f>
              <c:numCache>
                <c:formatCode>General</c:formatCode>
                <c:ptCount val="5"/>
                <c:pt idx="0">
                  <c:v>2008</c:v>
                </c:pt>
                <c:pt idx="1">
                  <c:v>2009</c:v>
                </c:pt>
                <c:pt idx="2">
                  <c:v>2010</c:v>
                </c:pt>
                <c:pt idx="3">
                  <c:v>2011</c:v>
                </c:pt>
                <c:pt idx="4">
                  <c:v>2012</c:v>
                </c:pt>
              </c:numCache>
            </c:numRef>
          </c:cat>
          <c:val>
            <c:numRef>
              <c:f>'Erträge Aufwendungen'!$C$12:$O$12</c:f>
              <c:numCache>
                <c:formatCode>0.00</c:formatCode>
                <c:ptCount val="5"/>
                <c:pt idx="0">
                  <c:v>11.75</c:v>
                </c:pt>
                <c:pt idx="1">
                  <c:v>9.3800000000000008</c:v>
                </c:pt>
                <c:pt idx="2">
                  <c:v>9.9960000000000004</c:v>
                </c:pt>
                <c:pt idx="3">
                  <c:v>9.3800000000000008</c:v>
                </c:pt>
                <c:pt idx="4">
                  <c:v>11.710999999999999</c:v>
                </c:pt>
              </c:numCache>
            </c:numRef>
          </c:val>
        </c:ser>
        <c:ser>
          <c:idx val="3"/>
          <c:order val="4"/>
          <c:tx>
            <c:strRef>
              <c:f>'Erträge Aufwendungen'!$B$11</c:f>
              <c:strCache>
                <c:ptCount val="1"/>
                <c:pt idx="0">
                  <c:v>Bezogene Leistungen</c:v>
                </c:pt>
              </c:strCache>
            </c:strRef>
          </c:tx>
          <c:spPr>
            <a:gradFill rotWithShape="0">
              <a:gsLst>
                <a:gs pos="0">
                  <a:srgbClr val="FF9900"/>
                </a:gs>
                <a:gs pos="100000">
                  <a:srgbClr val="FF9900">
                    <a:gamma/>
                    <a:tint val="0"/>
                    <a:invGamma/>
                  </a:srgbClr>
                </a:gs>
              </a:gsLst>
              <a:lin ang="5400000" scaled="1"/>
            </a:gradFill>
            <a:ln w="12700">
              <a:solidFill>
                <a:srgbClr val="000000"/>
              </a:solidFill>
              <a:prstDash val="solid"/>
            </a:ln>
          </c:spPr>
          <c:dPt>
            <c:idx val="4"/>
            <c:spPr>
              <a:solidFill>
                <a:srgbClr val="FF9900"/>
              </a:solidFill>
              <a:ln w="12700">
                <a:solidFill>
                  <a:srgbClr val="000000"/>
                </a:solidFill>
                <a:prstDash val="solid"/>
              </a:ln>
            </c:spPr>
          </c:dPt>
          <c:dLbls>
            <c:spPr>
              <a:noFill/>
              <a:ln w="25400">
                <a:noFill/>
              </a:ln>
            </c:spPr>
            <c:txPr>
              <a:bodyPr/>
              <a:lstStyle/>
              <a:p>
                <a:pPr>
                  <a:defRPr sz="1000" b="0" i="0" u="none" strike="noStrike" baseline="0">
                    <a:solidFill>
                      <a:srgbClr val="000000"/>
                    </a:solidFill>
                    <a:latin typeface="Arial"/>
                    <a:ea typeface="Arial"/>
                    <a:cs typeface="Arial"/>
                  </a:defRPr>
                </a:pPr>
                <a:endParaRPr lang="de-DE"/>
              </a:p>
            </c:txPr>
            <c:showVal val="1"/>
          </c:dLbls>
          <c:cat>
            <c:numRef>
              <c:f>'Erträge Aufwendungen'!$C$7:$O$7</c:f>
              <c:numCache>
                <c:formatCode>General</c:formatCode>
                <c:ptCount val="5"/>
                <c:pt idx="0">
                  <c:v>2008</c:v>
                </c:pt>
                <c:pt idx="1">
                  <c:v>2009</c:v>
                </c:pt>
                <c:pt idx="2">
                  <c:v>2010</c:v>
                </c:pt>
                <c:pt idx="3">
                  <c:v>2011</c:v>
                </c:pt>
                <c:pt idx="4">
                  <c:v>2012</c:v>
                </c:pt>
              </c:numCache>
            </c:numRef>
          </c:cat>
          <c:val>
            <c:numRef>
              <c:f>'Erträge Aufwendungen'!$C$11:$O$11</c:f>
              <c:numCache>
                <c:formatCode>0.00</c:formatCode>
                <c:ptCount val="5"/>
                <c:pt idx="0">
                  <c:v>10.38</c:v>
                </c:pt>
                <c:pt idx="1">
                  <c:v>10.350000000000026</c:v>
                </c:pt>
                <c:pt idx="2">
                  <c:v>9.4479999999999986</c:v>
                </c:pt>
                <c:pt idx="3">
                  <c:v>10.933</c:v>
                </c:pt>
                <c:pt idx="4">
                  <c:v>8.9910000000000014</c:v>
                </c:pt>
              </c:numCache>
            </c:numRef>
          </c:val>
        </c:ser>
        <c:ser>
          <c:idx val="6"/>
          <c:order val="5"/>
          <c:tx>
            <c:strRef>
              <c:f>'Erträge Aufwendungen'!$B$13</c:f>
              <c:strCache>
                <c:ptCount val="1"/>
                <c:pt idx="0">
                  <c:v>Roh-, Hilfs-, Betriebsstoffe</c:v>
                </c:pt>
              </c:strCache>
            </c:strRef>
          </c:tx>
          <c:spPr>
            <a:gradFill rotWithShape="0">
              <a:gsLst>
                <a:gs pos="0">
                  <a:srgbClr val="FFFF00"/>
                </a:gs>
                <a:gs pos="100000">
                  <a:srgbClr val="FFFF00">
                    <a:gamma/>
                    <a:tint val="0"/>
                    <a:invGamma/>
                  </a:srgbClr>
                </a:gs>
              </a:gsLst>
              <a:lin ang="5400000" scaled="1"/>
            </a:gradFill>
            <a:ln w="12700">
              <a:solidFill>
                <a:srgbClr val="000000"/>
              </a:solidFill>
              <a:prstDash val="solid"/>
            </a:ln>
          </c:spPr>
          <c:dPt>
            <c:idx val="4"/>
            <c:spPr>
              <a:solidFill>
                <a:srgbClr val="FFFF00"/>
              </a:solidFill>
              <a:ln w="12700">
                <a:solidFill>
                  <a:srgbClr val="000000"/>
                </a:solidFill>
                <a:prstDash val="solid"/>
              </a:ln>
            </c:spPr>
          </c:dPt>
          <c:dLbls>
            <c:dLbl>
              <c:idx val="0"/>
              <c:layout>
                <c:manualLayout>
                  <c:x val="2.4459770114942689E-3"/>
                  <c:y val="4.8246565116155209E-3"/>
                </c:manualLayout>
              </c:layout>
              <c:dLblPos val="ctr"/>
              <c:showVal val="1"/>
            </c:dLbl>
            <c:dLbl>
              <c:idx val="1"/>
              <c:layout>
                <c:manualLayout>
                  <c:x val="3.2735632183908429E-3"/>
                  <c:y val="-7.819744879519858E-3"/>
                </c:manualLayout>
              </c:layout>
              <c:dLblPos val="ctr"/>
              <c:showVal val="1"/>
            </c:dLbl>
            <c:dLbl>
              <c:idx val="2"/>
              <c:layout>
                <c:manualLayout>
                  <c:x val="5.4804597701149545E-3"/>
                  <c:y val="-4.2513760272065194E-3"/>
                </c:manualLayout>
              </c:layout>
              <c:dLblPos val="ctr"/>
              <c:showVal val="1"/>
            </c:dLbl>
            <c:dLbl>
              <c:idx val="3"/>
              <c:layout>
                <c:manualLayout>
                  <c:x val="3.5494252873563693E-3"/>
                  <c:y val="-6.6978309426897085E-3"/>
                </c:manualLayout>
              </c:layout>
              <c:dLblPos val="ctr"/>
              <c:showVal val="1"/>
            </c:dLbl>
            <c:dLbl>
              <c:idx val="4"/>
              <c:layout>
                <c:manualLayout>
                  <c:x val="3.9724137931035006E-3"/>
                  <c:y val="-8.7781352387384325E-4"/>
                </c:manualLayout>
              </c:layout>
              <c:dLblPos val="ctr"/>
              <c:showVal val="1"/>
            </c:dLbl>
            <c:dLbl>
              <c:idx val="5"/>
              <c:layout>
                <c:manualLayout>
                  <c:x val="-2.1705296242358407E-2"/>
                  <c:y val="8.6390691005610781E-2"/>
                </c:manualLayout>
              </c:layout>
              <c:spPr>
                <a:noFill/>
                <a:ln w="25400">
                  <a:noFill/>
                </a:ln>
              </c:spPr>
              <c:txPr>
                <a:bodyPr/>
                <a:lstStyle/>
                <a:p>
                  <a:pPr>
                    <a:defRPr sz="825" b="0" i="0" u="none" strike="noStrike" baseline="0">
                      <a:solidFill>
                        <a:srgbClr val="000000"/>
                      </a:solidFill>
                      <a:latin typeface="Arial"/>
                      <a:ea typeface="Arial"/>
                      <a:cs typeface="Arial"/>
                    </a:defRPr>
                  </a:pPr>
                  <a:endParaRPr lang="de-DE"/>
                </a:p>
              </c:txPr>
              <c:dLblPos val="ctr"/>
              <c:showVal val="1"/>
            </c:dLbl>
            <c:spPr>
              <a:noFill/>
              <a:ln w="25400">
                <a:noFill/>
              </a:ln>
            </c:spPr>
            <c:txPr>
              <a:bodyPr/>
              <a:lstStyle/>
              <a:p>
                <a:pPr>
                  <a:defRPr sz="1000" b="0" i="0" u="none" strike="noStrike" baseline="0">
                    <a:solidFill>
                      <a:srgbClr val="000000"/>
                    </a:solidFill>
                    <a:latin typeface="Arial"/>
                    <a:ea typeface="Arial"/>
                    <a:cs typeface="Arial"/>
                  </a:defRPr>
                </a:pPr>
                <a:endParaRPr lang="de-DE"/>
              </a:p>
            </c:txPr>
            <c:showVal val="1"/>
          </c:dLbls>
          <c:cat>
            <c:numRef>
              <c:f>'Erträge Aufwendungen'!$C$7:$O$7</c:f>
              <c:numCache>
                <c:formatCode>General</c:formatCode>
                <c:ptCount val="5"/>
                <c:pt idx="0">
                  <c:v>2008</c:v>
                </c:pt>
                <c:pt idx="1">
                  <c:v>2009</c:v>
                </c:pt>
                <c:pt idx="2">
                  <c:v>2010</c:v>
                </c:pt>
                <c:pt idx="3">
                  <c:v>2011</c:v>
                </c:pt>
                <c:pt idx="4">
                  <c:v>2012</c:v>
                </c:pt>
              </c:numCache>
            </c:numRef>
          </c:cat>
          <c:val>
            <c:numRef>
              <c:f>'Erträge Aufwendungen'!$C$13:$O$13</c:f>
              <c:numCache>
                <c:formatCode>0.00</c:formatCode>
                <c:ptCount val="5"/>
                <c:pt idx="0">
                  <c:v>9.0860000000000003</c:v>
                </c:pt>
                <c:pt idx="1">
                  <c:v>8.51</c:v>
                </c:pt>
                <c:pt idx="2">
                  <c:v>9.5389999999999997</c:v>
                </c:pt>
                <c:pt idx="3">
                  <c:v>10.888</c:v>
                </c:pt>
                <c:pt idx="4">
                  <c:v>11.199</c:v>
                </c:pt>
              </c:numCache>
            </c:numRef>
          </c:val>
        </c:ser>
        <c:dLbls>
          <c:showVal val="1"/>
        </c:dLbls>
        <c:gapWidth val="70"/>
        <c:overlap val="100"/>
        <c:axId val="136501504"/>
        <c:axId val="10133504"/>
      </c:barChart>
      <c:barChart>
        <c:barDir val="col"/>
        <c:grouping val="clustered"/>
        <c:ser>
          <c:idx val="5"/>
          <c:order val="7"/>
          <c:tx>
            <c:strRef>
              <c:f>'Erträge Aufwendungen'!$B$14</c:f>
              <c:strCache>
                <c:ptCount val="1"/>
                <c:pt idx="0">
                  <c:v>Außerordentl. Aufwendungen</c:v>
                </c:pt>
              </c:strCache>
            </c:strRef>
          </c:tx>
          <c:spPr>
            <a:solidFill>
              <a:srgbClr val="FF8080"/>
            </a:solidFill>
            <a:ln w="12700">
              <a:solidFill>
                <a:srgbClr val="000000"/>
              </a:solidFill>
              <a:prstDash val="solid"/>
            </a:ln>
          </c:spPr>
          <c:dLbls>
            <c:delete val="1"/>
          </c:dLbls>
          <c:val>
            <c:numRef>
              <c:f>'Erträge Aufwendungen'!$I$14:$O$14</c:f>
              <c:numCache>
                <c:formatCode>General</c:formatCode>
                <c:ptCount val="5"/>
                <c:pt idx="2" formatCode="0.00">
                  <c:v>2.1379999999999999</c:v>
                </c:pt>
                <c:pt idx="3" formatCode="0.00">
                  <c:v>0</c:v>
                </c:pt>
                <c:pt idx="4" formatCode="0.00">
                  <c:v>0</c:v>
                </c:pt>
              </c:numCache>
            </c:numRef>
          </c:val>
        </c:ser>
        <c:ser>
          <c:idx val="8"/>
          <c:order val="8"/>
          <c:tx>
            <c:strRef>
              <c:f>'Erträge Aufwendungen'!$B$18</c:f>
              <c:strCache>
                <c:ptCount val="1"/>
                <c:pt idx="0">
                  <c:v>Jahresergebnis</c:v>
                </c:pt>
              </c:strCache>
            </c:strRef>
          </c:tx>
          <c:spPr>
            <a:solidFill>
              <a:srgbClr val="008000"/>
            </a:solidFill>
            <a:ln w="12700">
              <a:solidFill>
                <a:srgbClr val="000000"/>
              </a:solidFill>
              <a:prstDash val="solid"/>
            </a:ln>
          </c:spPr>
          <c:dLbls>
            <c:delete val="1"/>
          </c:dLbls>
          <c:cat>
            <c:numRef>
              <c:f>'Erträge Aufwendungen'!$C$7:$O$7</c:f>
              <c:numCache>
                <c:formatCode>General</c:formatCode>
                <c:ptCount val="5"/>
                <c:pt idx="0">
                  <c:v>2008</c:v>
                </c:pt>
                <c:pt idx="1">
                  <c:v>2009</c:v>
                </c:pt>
                <c:pt idx="2">
                  <c:v>2010</c:v>
                </c:pt>
                <c:pt idx="3">
                  <c:v>2011</c:v>
                </c:pt>
                <c:pt idx="4">
                  <c:v>2012</c:v>
                </c:pt>
              </c:numCache>
            </c:numRef>
          </c:cat>
          <c:val>
            <c:numRef>
              <c:f>'Erträge Aufwendungen'!$I$18:$O$18</c:f>
              <c:numCache>
                <c:formatCode>General</c:formatCode>
                <c:ptCount val="5"/>
                <c:pt idx="0">
                  <c:v>-1.28</c:v>
                </c:pt>
                <c:pt idx="1">
                  <c:v>2.19</c:v>
                </c:pt>
                <c:pt idx="2" formatCode="0.00">
                  <c:v>1.1399999999999952</c:v>
                </c:pt>
                <c:pt idx="3" formatCode="0.00">
                  <c:v>4.5019999999999998</c:v>
                </c:pt>
                <c:pt idx="4" formatCode="0.00">
                  <c:v>6.2</c:v>
                </c:pt>
              </c:numCache>
            </c:numRef>
          </c:val>
        </c:ser>
        <c:dLbls>
          <c:showVal val="1"/>
        </c:dLbls>
        <c:axId val="10135424"/>
        <c:axId val="10136960"/>
      </c:barChart>
      <c:catAx>
        <c:axId val="136501504"/>
        <c:scaling>
          <c:orientation val="minMax"/>
        </c:scaling>
        <c:axPos val="b"/>
        <c:numFmt formatCode="General" sourceLinked="1"/>
        <c:tickLblPos val="nextTo"/>
        <c:spPr>
          <a:ln w="3175">
            <a:solidFill>
              <a:srgbClr val="000000"/>
            </a:solidFill>
            <a:prstDash val="solid"/>
          </a:ln>
        </c:spPr>
        <c:txPr>
          <a:bodyPr rot="0" vert="horz"/>
          <a:lstStyle/>
          <a:p>
            <a:pPr>
              <a:defRPr sz="1100" b="1" i="0" u="none" strike="noStrike" baseline="0">
                <a:solidFill>
                  <a:srgbClr val="000000"/>
                </a:solidFill>
                <a:latin typeface="Arial"/>
                <a:ea typeface="Arial"/>
                <a:cs typeface="Arial"/>
              </a:defRPr>
            </a:pPr>
            <a:endParaRPr lang="de-DE"/>
          </a:p>
        </c:txPr>
        <c:crossAx val="10133504"/>
        <c:crosses val="autoZero"/>
        <c:auto val="1"/>
        <c:lblAlgn val="ctr"/>
        <c:lblOffset val="100"/>
        <c:tickMarkSkip val="1"/>
      </c:catAx>
      <c:valAx>
        <c:axId val="10133504"/>
        <c:scaling>
          <c:orientation val="minMax"/>
          <c:max val="115"/>
          <c:min val="-5"/>
        </c:scaling>
        <c:axPos val="l"/>
        <c:majorGridlines>
          <c:spPr>
            <a:ln w="3175">
              <a:solidFill>
                <a:srgbClr val="000000"/>
              </a:solidFill>
              <a:prstDash val="solid"/>
            </a:ln>
          </c:spPr>
        </c:majorGridlines>
        <c:title>
          <c:tx>
            <c:rich>
              <a:bodyPr/>
              <a:lstStyle/>
              <a:p>
                <a:pPr>
                  <a:defRPr sz="900" b="1" i="0" u="none" strike="noStrike" baseline="0">
                    <a:solidFill>
                      <a:srgbClr val="000000"/>
                    </a:solidFill>
                    <a:latin typeface="Arial"/>
                    <a:ea typeface="Arial"/>
                    <a:cs typeface="Arial"/>
                  </a:defRPr>
                </a:pPr>
                <a:r>
                  <a:rPr lang="de-DE"/>
                  <a:t>in Mio. EUR</a:t>
                </a:r>
              </a:p>
            </c:rich>
          </c:tx>
          <c:layout>
            <c:manualLayout>
              <c:xMode val="edge"/>
              <c:yMode val="edge"/>
              <c:x val="3.5862068965517246E-2"/>
              <c:y val="0.41083521444695259"/>
            </c:manualLayout>
          </c:layout>
          <c:spPr>
            <a:noFill/>
            <a:ln w="25400">
              <a:noFill/>
            </a:ln>
          </c:spPr>
        </c:title>
        <c:numFmt formatCode="0.0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de-DE"/>
          </a:p>
        </c:txPr>
        <c:crossAx val="136501504"/>
        <c:crosses val="autoZero"/>
        <c:crossBetween val="between"/>
        <c:majorUnit val="10"/>
      </c:valAx>
      <c:catAx>
        <c:axId val="10135424"/>
        <c:scaling>
          <c:orientation val="minMax"/>
        </c:scaling>
        <c:delete val="1"/>
        <c:axPos val="b"/>
        <c:numFmt formatCode="General" sourceLinked="1"/>
        <c:tickLblPos val="none"/>
        <c:crossAx val="10136960"/>
        <c:crossesAt val="0"/>
        <c:auto val="1"/>
        <c:lblAlgn val="ctr"/>
        <c:lblOffset val="100"/>
      </c:catAx>
      <c:valAx>
        <c:axId val="10136960"/>
        <c:scaling>
          <c:orientation val="minMax"/>
          <c:max val="100"/>
          <c:min val="0"/>
        </c:scaling>
        <c:delete val="1"/>
        <c:axPos val="r"/>
        <c:numFmt formatCode="0.00" sourceLinked="1"/>
        <c:tickLblPos val="none"/>
        <c:crossAx val="10135424"/>
        <c:crosses val="max"/>
        <c:crossBetween val="between"/>
        <c:minorUnit val="0.2"/>
      </c:valAx>
      <c:spPr>
        <a:noFill/>
        <a:ln w="25400">
          <a:noFill/>
        </a:ln>
      </c:spPr>
    </c:plotArea>
    <c:legend>
      <c:legendPos val="r"/>
      <c:layout>
        <c:manualLayout>
          <c:xMode val="edge"/>
          <c:yMode val="edge"/>
          <c:x val="7.1696776601932494E-2"/>
          <c:y val="0.89841982799580899"/>
          <c:w val="0.92551724137930957"/>
          <c:h val="0.10158013544018102"/>
        </c:manualLayout>
      </c:layout>
      <c:spPr>
        <a:solidFill>
          <a:srgbClr val="FFFFFF"/>
        </a:solidFill>
        <a:ln w="25400">
          <a:noFill/>
        </a:ln>
      </c:spPr>
      <c:txPr>
        <a:bodyPr/>
        <a:lstStyle/>
        <a:p>
          <a:pPr>
            <a:defRPr sz="920" b="0" i="0" u="none" strike="noStrike" baseline="0">
              <a:solidFill>
                <a:srgbClr val="000000"/>
              </a:solidFill>
              <a:latin typeface="Arial"/>
              <a:ea typeface="Arial"/>
              <a:cs typeface="Arial"/>
            </a:defRPr>
          </a:pPr>
          <a:endParaRPr lang="de-DE"/>
        </a:p>
      </c:txPr>
    </c:legend>
    <c:plotVisOnly val="1"/>
    <c:dispBlanksAs val="gap"/>
  </c:chart>
  <c:spPr>
    <a:solidFill>
      <a:srgbClr val="FFFFFF"/>
    </a:solidFill>
    <a:ln w="9525">
      <a:noFill/>
    </a:ln>
  </c:spPr>
  <c:txPr>
    <a:bodyPr/>
    <a:lstStyle/>
    <a:p>
      <a:pPr>
        <a:defRPr sz="1500" b="0" i="0" u="none" strike="noStrike" baseline="0">
          <a:solidFill>
            <a:srgbClr val="000000"/>
          </a:solidFill>
          <a:latin typeface="Arial"/>
          <a:ea typeface="Arial"/>
          <a:cs typeface="Arial"/>
        </a:defRPr>
      </a:pPr>
      <a:endParaRPr lang="de-DE"/>
    </a:p>
  </c:txPr>
  <c:externalData r:id="rId2"/>
</c:chartSpac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2992</Words>
  <Characters>20048</Characters>
  <Application>Microsoft Office Word</Application>
  <DocSecurity>0</DocSecurity>
  <Lines>167</Lines>
  <Paragraphs>45</Paragraphs>
  <ScaleCrop>false</ScaleCrop>
  <HeadingPairs>
    <vt:vector size="2" baseType="variant">
      <vt:variant>
        <vt:lpstr>Titel</vt:lpstr>
      </vt:variant>
      <vt:variant>
        <vt:i4>1</vt:i4>
      </vt:variant>
    </vt:vector>
  </HeadingPairs>
  <TitlesOfParts>
    <vt:vector size="1" baseType="lpstr">
      <vt:lpstr>Lagebericht</vt:lpstr>
    </vt:vector>
  </TitlesOfParts>
  <Company>Tiefbauamt</Company>
  <LinksUpToDate>false</LinksUpToDate>
  <CharactersWithSpaces>22995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Lagebericht</dc:title>
  <dc:creator>endrich</dc:creator>
  <cp:lastModifiedBy>u660k04</cp:lastModifiedBy>
  <cp:revision>10</cp:revision>
  <cp:lastPrinted>2013-09-13T11:50:00Z</cp:lastPrinted>
  <dcterms:created xsi:type="dcterms:W3CDTF">2013-08-22T10:01:00Z</dcterms:created>
  <dcterms:modified xsi:type="dcterms:W3CDTF">2013-09-16T08:35:00Z</dcterms:modified>
</cp:coreProperties>
</file>